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CC8EC">
      <w:pPr>
        <w:keepNext w:val="0"/>
        <w:keepLines w:val="0"/>
        <w:pageBreakBefore w:val="0"/>
        <w:widowControl w:val="0"/>
        <w:kinsoku/>
        <w:wordWrap/>
        <w:overflowPunct/>
        <w:topLinePunct w:val="0"/>
        <w:autoSpaceDE/>
        <w:autoSpaceDN/>
        <w:bidi w:val="0"/>
        <w:adjustRightInd/>
        <w:snapToGrid/>
        <w:spacing w:line="600" w:lineRule="exact"/>
        <w:ind w:right="0"/>
        <w:jc w:val="center"/>
        <w:textAlignment w:val="auto"/>
        <w:outlineLvl w:val="0"/>
        <w:rPr>
          <w:rFonts w:hint="eastAsia" w:ascii="Times New Roman" w:hAnsi="Times New Roman" w:eastAsia="方正小标宋简体" w:cs="Times New Roman"/>
          <w:sz w:val="44"/>
          <w:szCs w:val="44"/>
        </w:rPr>
      </w:pPr>
    </w:p>
    <w:p w14:paraId="7C412FFE">
      <w:pPr>
        <w:keepNext w:val="0"/>
        <w:keepLines w:val="0"/>
        <w:pageBreakBefore w:val="0"/>
        <w:widowControl w:val="0"/>
        <w:kinsoku/>
        <w:wordWrap/>
        <w:overflowPunct/>
        <w:topLinePunct w:val="0"/>
        <w:autoSpaceDE/>
        <w:autoSpaceDN/>
        <w:bidi w:val="0"/>
        <w:adjustRightInd/>
        <w:snapToGrid/>
        <w:spacing w:line="600" w:lineRule="exact"/>
        <w:ind w:right="0"/>
        <w:jc w:val="center"/>
        <w:textAlignment w:val="auto"/>
        <w:outlineLvl w:val="0"/>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湖州市绿色采购服务平台</w:t>
      </w:r>
      <w:r>
        <w:rPr>
          <w:rFonts w:hint="eastAsia" w:ascii="Times New Roman" w:hAnsi="Times New Roman" w:eastAsia="方正小标宋简体" w:cs="Times New Roman"/>
          <w:sz w:val="44"/>
          <w:szCs w:val="44"/>
          <w:lang w:val="en-US" w:eastAsia="zh-CN"/>
        </w:rPr>
        <w:t>采购</w:t>
      </w:r>
      <w:r>
        <w:rPr>
          <w:rFonts w:hint="eastAsia" w:ascii="Times New Roman" w:hAnsi="Times New Roman" w:eastAsia="方正小标宋简体" w:cs="Times New Roman"/>
          <w:sz w:val="44"/>
          <w:szCs w:val="44"/>
        </w:rPr>
        <w:t>代理机构</w:t>
      </w:r>
    </w:p>
    <w:p w14:paraId="1265240D">
      <w:pPr>
        <w:keepNext w:val="0"/>
        <w:keepLines w:val="0"/>
        <w:pageBreakBefore w:val="0"/>
        <w:widowControl w:val="0"/>
        <w:kinsoku/>
        <w:wordWrap/>
        <w:overflowPunct/>
        <w:topLinePunct w:val="0"/>
        <w:autoSpaceDE/>
        <w:autoSpaceDN/>
        <w:bidi w:val="0"/>
        <w:adjustRightInd/>
        <w:snapToGrid/>
        <w:spacing w:line="600" w:lineRule="exact"/>
        <w:ind w:right="0"/>
        <w:jc w:val="center"/>
        <w:textAlignment w:val="auto"/>
        <w:outlineLvl w:val="0"/>
        <w:rPr>
          <w:rFonts w:hint="eastAsia"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评价</w:t>
      </w:r>
      <w:r>
        <w:rPr>
          <w:rFonts w:hint="eastAsia" w:ascii="Times New Roman" w:hAnsi="Times New Roman" w:eastAsia="方正小标宋简体" w:cs="Times New Roman"/>
          <w:sz w:val="44"/>
          <w:szCs w:val="44"/>
        </w:rPr>
        <w:t>管理办法（试行）</w:t>
      </w:r>
    </w:p>
    <w:p w14:paraId="7372C0A1">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textAlignment w:val="auto"/>
        <w:rPr>
          <w:rFonts w:ascii="Times New Roman" w:hAnsi="Times New Roman" w:eastAsia="仿宋_GB2312" w:cs="Times New Roman"/>
          <w:sz w:val="32"/>
          <w:szCs w:val="32"/>
        </w:rPr>
      </w:pPr>
    </w:p>
    <w:p w14:paraId="35EC8B6E">
      <w:pPr>
        <w:pStyle w:val="3"/>
        <w:keepNext w:val="0"/>
        <w:keepLines w:val="0"/>
        <w:pageBreakBefore w:val="0"/>
        <w:widowControl w:val="0"/>
        <w:tabs>
          <w:tab w:val="left" w:pos="1759"/>
        </w:tabs>
        <w:kinsoku/>
        <w:wordWrap/>
        <w:overflowPunct/>
        <w:topLinePunct w:val="0"/>
        <w:autoSpaceDE/>
        <w:autoSpaceDN/>
        <w:bidi w:val="0"/>
        <w:adjustRightInd/>
        <w:snapToGrid/>
        <w:spacing w:after="0" w:line="600" w:lineRule="exact"/>
        <w:ind w:right="0"/>
        <w:jc w:val="center"/>
        <w:textAlignment w:val="auto"/>
        <w:outlineLvl w:val="0"/>
        <w:rPr>
          <w:rFonts w:hint="eastAsia" w:ascii="黑体" w:hAnsi="黑体" w:eastAsia="黑体" w:cs="黑体"/>
          <w:sz w:val="32"/>
          <w:szCs w:val="32"/>
        </w:rPr>
      </w:pPr>
      <w:r>
        <w:rPr>
          <w:rFonts w:hint="eastAsia" w:ascii="黑体" w:hAnsi="黑体" w:eastAsia="黑体" w:cs="黑体"/>
          <w:sz w:val="32"/>
          <w:szCs w:val="32"/>
        </w:rPr>
        <w:t>第一章 总</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则</w:t>
      </w:r>
    </w:p>
    <w:p w14:paraId="57A69163">
      <w:pPr>
        <w:keepNext w:val="0"/>
        <w:keepLines w:val="0"/>
        <w:pageBreakBefore w:val="0"/>
        <w:widowControl w:val="0"/>
        <w:kinsoku/>
        <w:wordWrap/>
        <w:overflowPunct/>
        <w:topLinePunct w:val="0"/>
        <w:autoSpaceDE/>
        <w:autoSpaceDN/>
        <w:bidi w:val="0"/>
        <w:adjustRightInd/>
        <w:snapToGrid/>
        <w:spacing w:line="600" w:lineRule="exact"/>
        <w:ind w:right="0" w:firstLine="632" w:firstLineChars="200"/>
        <w:textAlignment w:val="auto"/>
        <w:rPr>
          <w:rFonts w:hint="eastAsia" w:ascii="Times New Roman" w:hAnsi="Times New Roman" w:eastAsia="仿宋_GB2312" w:cs="Times New Roman"/>
          <w:sz w:val="32"/>
          <w:szCs w:val="32"/>
        </w:rPr>
      </w:pPr>
      <w:r>
        <w:rPr>
          <w:rFonts w:hint="eastAsia" w:ascii="黑体" w:hAnsi="黑体" w:eastAsia="黑体" w:cs="黑体"/>
          <w:spacing w:val="6"/>
          <w:w w:val="95"/>
          <w:sz w:val="32"/>
          <w:szCs w:val="32"/>
        </w:rPr>
        <w:t>第一条</w:t>
      </w:r>
      <w:r>
        <w:rPr>
          <w:rFonts w:hint="eastAsia" w:ascii="Times New Roman" w:hAnsi="Times New Roman" w:eastAsia="仿宋"/>
          <w:spacing w:val="6"/>
          <w:w w:val="95"/>
          <w:sz w:val="32"/>
          <w:szCs w:val="32"/>
        </w:rPr>
        <w:t xml:space="preserve"> </w:t>
      </w:r>
      <w:r>
        <w:rPr>
          <w:rFonts w:hint="eastAsia" w:ascii="Times New Roman" w:hAnsi="Times New Roman" w:eastAsia="仿宋_GB2312" w:cs="Times New Roman"/>
          <w:sz w:val="32"/>
          <w:szCs w:val="32"/>
        </w:rPr>
        <w:t>为更好地发挥湖州市绿色采购服务平台（以下简称“</w:t>
      </w:r>
      <w:r>
        <w:rPr>
          <w:rFonts w:hint="eastAsia" w:ascii="Times New Roman" w:hAnsi="Times New Roman" w:eastAsia="仿宋_GB2312" w:cs="Times New Roman"/>
          <w:sz w:val="32"/>
          <w:szCs w:val="32"/>
          <w:lang w:val="en-US" w:eastAsia="zh-CN"/>
        </w:rPr>
        <w:t>平台</w:t>
      </w:r>
      <w:r>
        <w:rPr>
          <w:rFonts w:hint="eastAsia" w:ascii="Times New Roman" w:hAnsi="Times New Roman" w:eastAsia="仿宋_GB2312" w:cs="Times New Roman"/>
          <w:sz w:val="32"/>
          <w:szCs w:val="32"/>
        </w:rPr>
        <w:t>”）的服务功能，</w:t>
      </w:r>
      <w:r>
        <w:rPr>
          <w:rFonts w:hint="eastAsia" w:ascii="Times New Roman" w:hAnsi="Times New Roman" w:eastAsia="仿宋_GB2312" w:cs="Times New Roman"/>
          <w:sz w:val="32"/>
          <w:szCs w:val="32"/>
          <w:lang w:val="en-US" w:eastAsia="zh-CN"/>
        </w:rPr>
        <w:t>进一步规范采购代理机构行为</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提升采购代理评价工作质量，打造诚信自律服务高效的中介市场</w:t>
      </w:r>
      <w:r>
        <w:rPr>
          <w:rFonts w:hint="eastAsia" w:ascii="Times New Roman" w:hAnsi="Times New Roman" w:eastAsia="仿宋_GB2312" w:cs="Times New Roman"/>
          <w:sz w:val="32"/>
          <w:szCs w:val="32"/>
        </w:rPr>
        <w:t>，保证各项交易活动的规范有序进行，湖州市联合产权交易有限公司（以下简称“</w:t>
      </w:r>
      <w:r>
        <w:rPr>
          <w:rFonts w:hint="eastAsia" w:ascii="Times New Roman" w:hAnsi="Times New Roman" w:eastAsia="仿宋_GB2312" w:cs="Times New Roman"/>
          <w:sz w:val="32"/>
          <w:szCs w:val="32"/>
          <w:lang w:val="en-US" w:eastAsia="zh-CN"/>
        </w:rPr>
        <w:t>湖州产权</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根据市国资委关于印发《湖州市国有企业采购实施办法(试行)》的通知（湖国资委〔2019〕80号）、《市国资委关于进一步规范湖州市属国有企业采购行为的通知》（湖国资委〔2022〕34号），结合平台实际，</w:t>
      </w:r>
      <w:r>
        <w:rPr>
          <w:rFonts w:hint="eastAsia" w:ascii="Times New Roman" w:hAnsi="Times New Roman" w:eastAsia="仿宋_GB2312" w:cs="Times New Roman"/>
          <w:sz w:val="32"/>
          <w:szCs w:val="32"/>
        </w:rPr>
        <w:t>制定本办法。</w:t>
      </w:r>
    </w:p>
    <w:p w14:paraId="65AB5109">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pacing w:val="6"/>
          <w:w w:val="95"/>
          <w:sz w:val="32"/>
          <w:szCs w:val="32"/>
          <w:lang w:val="en-US" w:eastAsia="zh-CN"/>
        </w:rPr>
        <w:t>第二条</w:t>
      </w:r>
      <w:r>
        <w:rPr>
          <w:rFonts w:hint="eastAsia" w:ascii="Times New Roman" w:hAnsi="Times New Roman" w:eastAsia="仿宋_GB2312" w:cs="Times New Roman"/>
          <w:sz w:val="32"/>
          <w:szCs w:val="32"/>
          <w:lang w:val="en-US" w:eastAsia="zh-CN"/>
        </w:rPr>
        <w:t xml:space="preserve"> 本办法适用于在平台为采购项目提供代理服务的采购代理机构。在平台提供代理服务的采购代理机构应在平台操作系统中完成注册。</w:t>
      </w:r>
    </w:p>
    <w:p w14:paraId="100542A9">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pacing w:val="6"/>
          <w:w w:val="95"/>
          <w:sz w:val="32"/>
          <w:szCs w:val="32"/>
          <w:lang w:val="en-US" w:eastAsia="zh-CN"/>
        </w:rPr>
        <w:t>第三条</w:t>
      </w:r>
      <w:r>
        <w:rPr>
          <w:rFonts w:hint="eastAsia" w:ascii="Times New Roman" w:hAnsi="Times New Roman" w:eastAsia="仿宋_GB2312" w:cs="Times New Roman"/>
          <w:sz w:val="32"/>
          <w:szCs w:val="32"/>
          <w:lang w:val="en-US" w:eastAsia="zh-CN"/>
        </w:rPr>
        <w:t xml:space="preserve"> 评价坚持“公开、公平、公正、客观”的原则，以采购代理服务质量为依据，对采购代理机构实行“一标一评”。</w:t>
      </w:r>
    </w:p>
    <w:p w14:paraId="15826269">
      <w:pPr>
        <w:pStyle w:val="3"/>
        <w:keepNext w:val="0"/>
        <w:keepLines w:val="0"/>
        <w:pageBreakBefore w:val="0"/>
        <w:widowControl w:val="0"/>
        <w:tabs>
          <w:tab w:val="left" w:pos="1759"/>
        </w:tabs>
        <w:kinsoku/>
        <w:wordWrap/>
        <w:overflowPunct/>
        <w:topLinePunct w:val="0"/>
        <w:autoSpaceDE/>
        <w:autoSpaceDN/>
        <w:bidi w:val="0"/>
        <w:adjustRightInd/>
        <w:spacing w:after="0" w:line="600" w:lineRule="exact"/>
        <w:ind w:right="0"/>
        <w:jc w:val="center"/>
        <w:textAlignment w:val="auto"/>
        <w:outlineLvl w:val="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第二章 评价规则</w:t>
      </w:r>
    </w:p>
    <w:p w14:paraId="370F5CD3">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hint="eastAsia" w:ascii="Times New Roman" w:hAnsi="Times New Roman" w:eastAsia="仿宋_GB2312" w:cs="Times New Roman"/>
          <w:sz w:val="32"/>
          <w:szCs w:val="32"/>
          <w:highlight w:val="none"/>
          <w:lang w:val="en-US" w:eastAsia="zh-CN"/>
        </w:rPr>
      </w:pPr>
      <w:r>
        <w:rPr>
          <w:rFonts w:hint="eastAsia" w:ascii="黑体" w:hAnsi="黑体" w:eastAsia="黑体" w:cs="黑体"/>
          <w:spacing w:val="6"/>
          <w:w w:val="95"/>
          <w:sz w:val="32"/>
          <w:szCs w:val="32"/>
          <w:lang w:val="en-US" w:eastAsia="zh-CN"/>
        </w:rPr>
        <w:t>第四条</w:t>
      </w:r>
      <w:r>
        <w:rPr>
          <w:rFonts w:hint="eastAsia" w:ascii="Times New Roman" w:hAnsi="Times New Roman" w:eastAsia="仿宋_GB2312" w:cs="Times New Roman"/>
          <w:sz w:val="32"/>
          <w:szCs w:val="32"/>
          <w:lang w:val="en-US" w:eastAsia="zh-CN"/>
        </w:rPr>
        <w:t xml:space="preserve"> 采购代理项目评价(以下简称项目评价)由平台组织采购人和平台双方共同实施。</w:t>
      </w:r>
      <w:r>
        <w:rPr>
          <w:rFonts w:hint="eastAsia" w:ascii="Times New Roman" w:hAnsi="Times New Roman" w:eastAsia="仿宋_GB2312" w:cs="Times New Roman"/>
          <w:sz w:val="32"/>
          <w:szCs w:val="32"/>
          <w:highlight w:val="none"/>
          <w:lang w:val="en-US" w:eastAsia="zh-CN"/>
        </w:rPr>
        <w:t>评价以一个完整会计年度为计分周期(以下简称计分周期)，计算公式为:</w:t>
      </w:r>
    </w:p>
    <w:p w14:paraId="6D0B82DB">
      <w:pPr>
        <w:keepNext w:val="0"/>
        <w:keepLines w:val="0"/>
        <w:pageBreakBefore w:val="0"/>
        <w:widowControl w:val="0"/>
        <w:kinsoku/>
        <w:wordWrap/>
        <w:overflowPunct/>
        <w:topLinePunct w:val="0"/>
        <w:autoSpaceDE/>
        <w:autoSpaceDN/>
        <w:bidi w:val="0"/>
        <w:adjustRightInd/>
        <w:spacing w:line="600" w:lineRule="exact"/>
        <w:ind w:right="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highlight w:val="none"/>
          <w:lang w:val="en-US" w:eastAsia="zh-CN"/>
        </w:rPr>
        <w:t>年度评价分=采购人对采购代理机构计分周期内的所有项目评价的算术平均分×40%+平台对采购代理机构计分周期内评价分×45%+动态评价分。</w:t>
      </w:r>
    </w:p>
    <w:p w14:paraId="45355D2B">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hint="eastAsia" w:ascii="Times New Roman" w:hAnsi="Times New Roman" w:eastAsia="仿宋_GB2312" w:cs="Times New Roman"/>
          <w:sz w:val="32"/>
          <w:szCs w:val="32"/>
          <w:highlight w:val="none"/>
          <w:lang w:val="en-US" w:eastAsia="zh-CN"/>
        </w:rPr>
      </w:pPr>
      <w:r>
        <w:rPr>
          <w:rFonts w:hint="eastAsia" w:ascii="黑体" w:hAnsi="黑体" w:eastAsia="黑体" w:cs="黑体"/>
          <w:spacing w:val="6"/>
          <w:w w:val="95"/>
          <w:sz w:val="32"/>
          <w:szCs w:val="32"/>
          <w:lang w:val="en-US" w:eastAsia="zh-CN"/>
        </w:rPr>
        <w:t xml:space="preserve">第五条 </w:t>
      </w:r>
      <w:r>
        <w:rPr>
          <w:rFonts w:hint="eastAsia" w:ascii="Times New Roman" w:hAnsi="Times New Roman" w:eastAsia="仿宋_GB2312" w:cs="Times New Roman"/>
          <w:sz w:val="32"/>
          <w:szCs w:val="32"/>
          <w:lang w:val="en-US" w:eastAsia="zh-CN"/>
        </w:rPr>
        <w:t>采购人应在项目成交公告发布五日内或终止公告发布前完成项目评价，未在规定时间内完成评价的，项目评价分按默认评价得100分。评价标准详见附件1</w:t>
      </w:r>
      <w:r>
        <w:rPr>
          <w:rFonts w:hint="eastAsia" w:ascii="Times New Roman" w:hAnsi="Times New Roman" w:eastAsia="仿宋_GB2312" w:cs="Times New Roman"/>
          <w:sz w:val="32"/>
          <w:szCs w:val="32"/>
          <w:highlight w:val="none"/>
          <w:lang w:val="en-US" w:eastAsia="zh-CN"/>
        </w:rPr>
        <w:t>。</w:t>
      </w:r>
    </w:p>
    <w:p w14:paraId="1F00009C">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hint="eastAsia" w:ascii="Times New Roman" w:hAnsi="Times New Roman" w:eastAsia="仿宋_GB2312" w:cs="Times New Roman"/>
          <w:sz w:val="32"/>
          <w:szCs w:val="32"/>
          <w:highlight w:val="none"/>
          <w:lang w:val="en-US" w:eastAsia="zh-CN"/>
        </w:rPr>
      </w:pPr>
      <w:r>
        <w:rPr>
          <w:rFonts w:hint="eastAsia" w:ascii="黑体" w:hAnsi="黑体" w:eastAsia="黑体" w:cs="黑体"/>
          <w:spacing w:val="6"/>
          <w:w w:val="95"/>
          <w:sz w:val="32"/>
          <w:szCs w:val="32"/>
          <w:lang w:val="en-US" w:eastAsia="zh-CN"/>
        </w:rPr>
        <w:t>第六条</w:t>
      </w:r>
      <w:r>
        <w:rPr>
          <w:rFonts w:hint="eastAsia" w:ascii="Times New Roman" w:hAnsi="Times New Roman" w:eastAsia="仿宋_GB2312" w:cs="Times New Roman"/>
          <w:sz w:val="32"/>
          <w:szCs w:val="32"/>
          <w:highlight w:val="none"/>
          <w:lang w:val="en-US" w:eastAsia="zh-CN"/>
        </w:rPr>
        <w:t xml:space="preserve"> </w:t>
      </w:r>
      <w:r>
        <w:rPr>
          <w:rFonts w:hint="eastAsia" w:ascii="Times New Roman" w:hAnsi="Times New Roman" w:eastAsia="仿宋_GB2312" w:cs="Times New Roman"/>
          <w:sz w:val="32"/>
          <w:szCs w:val="32"/>
          <w:lang w:val="en-US" w:eastAsia="zh-CN"/>
        </w:rPr>
        <w:t>平台对采购代理机构的评价在100分的基础上根据评价标准进行扣分后，形成最终得分。评价标准详见附件2。</w:t>
      </w:r>
    </w:p>
    <w:p w14:paraId="66DC435D">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spacing w:val="6"/>
          <w:w w:val="95"/>
          <w:sz w:val="32"/>
          <w:szCs w:val="32"/>
          <w:lang w:val="en-US" w:eastAsia="zh-CN"/>
        </w:rPr>
        <w:t>第七条</w:t>
      </w:r>
      <w:r>
        <w:rPr>
          <w:rFonts w:hint="eastAsia" w:ascii="Times New Roman" w:hAnsi="Times New Roman" w:eastAsia="仿宋_GB2312" w:cs="Times New Roman"/>
          <w:sz w:val="32"/>
          <w:szCs w:val="32"/>
          <w:lang w:val="en-US" w:eastAsia="zh-CN"/>
        </w:rPr>
        <w:t xml:space="preserve"> 平台对采购代理机构的合规情况以及项目服务质量根据标准进行</w:t>
      </w:r>
      <w:r>
        <w:rPr>
          <w:rFonts w:hint="eastAsia" w:ascii="Times New Roman" w:hAnsi="Times New Roman" w:eastAsia="仿宋_GB2312" w:cs="Times New Roman"/>
          <w:sz w:val="32"/>
          <w:szCs w:val="32"/>
          <w:highlight w:val="none"/>
          <w:lang w:val="en-US" w:eastAsia="zh-CN"/>
        </w:rPr>
        <w:t>动态评价。</w:t>
      </w:r>
      <w:r>
        <w:rPr>
          <w:rFonts w:hint="eastAsia" w:ascii="Times New Roman" w:hAnsi="Times New Roman" w:eastAsia="仿宋_GB2312" w:cs="Times New Roman"/>
          <w:sz w:val="32"/>
          <w:szCs w:val="32"/>
          <w:lang w:val="en-US" w:eastAsia="zh-CN"/>
        </w:rPr>
        <w:t>评价标准详见附件3。</w:t>
      </w:r>
    </w:p>
    <w:p w14:paraId="518603FC">
      <w:pPr>
        <w:pStyle w:val="3"/>
        <w:keepNext w:val="0"/>
        <w:keepLines w:val="0"/>
        <w:pageBreakBefore w:val="0"/>
        <w:widowControl w:val="0"/>
        <w:tabs>
          <w:tab w:val="left" w:pos="1759"/>
        </w:tabs>
        <w:kinsoku/>
        <w:wordWrap/>
        <w:overflowPunct/>
        <w:topLinePunct w:val="0"/>
        <w:autoSpaceDE/>
        <w:autoSpaceDN/>
        <w:bidi w:val="0"/>
        <w:adjustRightInd/>
        <w:spacing w:after="0" w:line="600" w:lineRule="exact"/>
        <w:ind w:right="0"/>
        <w:jc w:val="center"/>
        <w:textAlignment w:val="auto"/>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第三章 评价管理</w:t>
      </w:r>
    </w:p>
    <w:p w14:paraId="07972B0D">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hint="default" w:ascii="Times New Roman" w:hAnsi="Times New Roman" w:eastAsia="仿宋_GB2312" w:cs="Times New Roman"/>
          <w:sz w:val="32"/>
          <w:szCs w:val="32"/>
          <w:lang w:val="en-US" w:eastAsia="zh-CN"/>
        </w:rPr>
      </w:pPr>
      <w:r>
        <w:rPr>
          <w:rFonts w:hint="eastAsia" w:ascii="黑体" w:hAnsi="黑体" w:eastAsia="黑体" w:cs="黑体"/>
          <w:spacing w:val="6"/>
          <w:w w:val="95"/>
          <w:sz w:val="32"/>
          <w:szCs w:val="32"/>
          <w:lang w:val="en-US" w:eastAsia="zh-CN"/>
        </w:rPr>
        <w:t>第八条</w:t>
      </w:r>
      <w:r>
        <w:rPr>
          <w:rFonts w:hint="eastAsia" w:ascii="Times New Roman" w:hAnsi="Times New Roman" w:eastAsia="仿宋_GB2312" w:cs="Times New Roman"/>
          <w:sz w:val="32"/>
          <w:szCs w:val="32"/>
          <w:lang w:val="en-US" w:eastAsia="zh-CN"/>
        </w:rPr>
        <w:t xml:space="preserve"> 采购代理机构年度评价88分以上为优秀（包含88分），75分~88分为良好（包含75分），60分~75分为及格（包含60分）,60分以下为不及格。</w:t>
      </w:r>
    </w:p>
    <w:p w14:paraId="3D3A9CDD">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pacing w:val="6"/>
          <w:w w:val="95"/>
          <w:sz w:val="32"/>
          <w:szCs w:val="32"/>
          <w:lang w:val="en-US" w:eastAsia="zh-CN"/>
        </w:rPr>
        <w:t>第九条</w:t>
      </w:r>
      <w:r>
        <w:rPr>
          <w:rFonts w:hint="eastAsia" w:ascii="Times New Roman" w:hAnsi="Times New Roman" w:eastAsia="仿宋_GB2312" w:cs="Times New Roman"/>
          <w:sz w:val="32"/>
          <w:szCs w:val="32"/>
          <w:lang w:val="en-US" w:eastAsia="zh-CN"/>
        </w:rPr>
        <w:t xml:space="preserve"> 评价主体完成评价后，平台以系统内推送方式即时通知被评价的采购代理机构。采购代理机构对结果有异议的，应当在收到通知后的3个工作日内，以书面形式向相关评价主体提起申诉，相关评价主体应在收到异议的3个工作日内，作出书面答复。</w:t>
      </w:r>
    </w:p>
    <w:p w14:paraId="6C331FC9">
      <w:pPr>
        <w:keepNext w:val="0"/>
        <w:keepLines w:val="0"/>
        <w:pageBreakBefore w:val="0"/>
        <w:widowControl w:val="0"/>
        <w:kinsoku/>
        <w:wordWrap/>
        <w:overflowPunct/>
        <w:topLinePunct w:val="0"/>
        <w:autoSpaceDE/>
        <w:autoSpaceDN/>
        <w:bidi w:val="0"/>
        <w:adjustRightInd/>
        <w:spacing w:line="600" w:lineRule="exact"/>
        <w:ind w:right="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申诉结果成立的，由相关评价主体修正项目评价。</w:t>
      </w:r>
    </w:p>
    <w:p w14:paraId="6725EE41">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pacing w:val="6"/>
          <w:w w:val="95"/>
          <w:sz w:val="32"/>
          <w:szCs w:val="32"/>
          <w:lang w:val="en-US" w:eastAsia="zh-CN"/>
        </w:rPr>
        <w:t>第十条</w:t>
      </w:r>
      <w:r>
        <w:rPr>
          <w:rFonts w:hint="eastAsia" w:ascii="Times New Roman" w:hAnsi="Times New Roman" w:eastAsia="仿宋_GB2312" w:cs="Times New Roman"/>
          <w:sz w:val="32"/>
          <w:szCs w:val="32"/>
          <w:lang w:val="en-US" w:eastAsia="zh-CN"/>
        </w:rPr>
        <w:t xml:space="preserve"> 采购代理机构的评价结果，将在平台公布，供采购人选取采购代理机构时参考。</w:t>
      </w:r>
    </w:p>
    <w:p w14:paraId="38529498">
      <w:pPr>
        <w:keepNext w:val="0"/>
        <w:keepLines w:val="0"/>
        <w:pageBreakBefore w:val="0"/>
        <w:widowControl w:val="0"/>
        <w:numPr>
          <w:ilvl w:val="0"/>
          <w:numId w:val="0"/>
        </w:numPr>
        <w:kinsoku/>
        <w:wordWrap/>
        <w:overflowPunct/>
        <w:topLinePunct w:val="0"/>
        <w:autoSpaceDE/>
        <w:autoSpaceDN/>
        <w:bidi w:val="0"/>
        <w:adjustRightInd/>
        <w:spacing w:line="600" w:lineRule="exact"/>
        <w:ind w:right="0" w:firstLine="632" w:firstLineChars="200"/>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pacing w:val="6"/>
          <w:w w:val="95"/>
          <w:sz w:val="32"/>
          <w:szCs w:val="32"/>
          <w:lang w:val="en-US" w:eastAsia="zh-CN"/>
        </w:rPr>
        <w:t xml:space="preserve">第十一条 </w:t>
      </w:r>
      <w:r>
        <w:rPr>
          <w:rFonts w:hint="eastAsia" w:ascii="Times New Roman" w:hAnsi="Times New Roman" w:eastAsia="仿宋_GB2312" w:cs="Times New Roman"/>
          <w:sz w:val="32"/>
          <w:szCs w:val="32"/>
          <w:lang w:val="en-US" w:eastAsia="zh-CN"/>
        </w:rPr>
        <w:t>采购代理机构严重不服从平台规范管理的或者在计分周期内扣分超过40分的，由平台发起提交湖州市国资委认定后可暂停代理项目进场2个月。</w:t>
      </w:r>
    </w:p>
    <w:p w14:paraId="581DF230">
      <w:pPr>
        <w:pStyle w:val="4"/>
        <w:keepNext w:val="0"/>
        <w:keepLines w:val="0"/>
        <w:pageBreakBefore w:val="0"/>
        <w:widowControl w:val="0"/>
        <w:numPr>
          <w:ilvl w:val="0"/>
          <w:numId w:val="0"/>
        </w:numPr>
        <w:kinsoku/>
        <w:wordWrap/>
        <w:overflowPunct/>
        <w:topLinePunct w:val="0"/>
        <w:autoSpaceDE/>
        <w:autoSpaceDN/>
        <w:bidi w:val="0"/>
        <w:adjustRightInd/>
        <w:spacing w:line="600" w:lineRule="exact"/>
        <w:ind w:right="0"/>
        <w:textAlignment w:val="auto"/>
        <w:rPr>
          <w:rFonts w:hint="eastAsia" w:eastAsia="仿宋_GB2312"/>
          <w:sz w:val="32"/>
          <w:szCs w:val="32"/>
          <w:lang w:val="en-US" w:eastAsia="zh-CN"/>
        </w:rPr>
      </w:pPr>
      <w:r>
        <w:rPr>
          <w:rFonts w:hint="eastAsia"/>
          <w:lang w:val="en-US" w:eastAsia="zh-CN"/>
        </w:rPr>
        <w:t xml:space="preserve">      </w:t>
      </w:r>
      <w:r>
        <w:rPr>
          <w:rFonts w:hint="eastAsia" w:eastAsia="仿宋_GB2312"/>
          <w:sz w:val="32"/>
          <w:szCs w:val="32"/>
          <w:lang w:val="en-US" w:eastAsia="zh-CN"/>
        </w:rPr>
        <w:t xml:space="preserve"> </w:t>
      </w:r>
      <w:r>
        <w:rPr>
          <w:rFonts w:hint="eastAsia" w:ascii="黑体" w:hAnsi="黑体" w:eastAsia="黑体" w:cs="黑体"/>
          <w:spacing w:val="6"/>
          <w:w w:val="95"/>
          <w:sz w:val="32"/>
          <w:szCs w:val="32"/>
          <w:lang w:val="en-US" w:eastAsia="zh-CN"/>
        </w:rPr>
        <w:t>第十二条</w:t>
      </w:r>
      <w:r>
        <w:rPr>
          <w:rFonts w:hint="eastAsia" w:eastAsia="仿宋_GB2312"/>
          <w:sz w:val="32"/>
          <w:szCs w:val="32"/>
          <w:lang w:val="en-US" w:eastAsia="zh-CN"/>
        </w:rPr>
        <w:t xml:space="preserve"> 被有关采购行政主管部门作出禁止在一定期限内参与公共资源交易活动或国企采购活动、限制从业、暂扣或者吊销执照等行政处罚的，同时在该期限内暂停参与平台代理采购项目。</w:t>
      </w:r>
    </w:p>
    <w:p w14:paraId="3DD135B5">
      <w:pPr>
        <w:pStyle w:val="3"/>
        <w:keepNext w:val="0"/>
        <w:keepLines w:val="0"/>
        <w:pageBreakBefore w:val="0"/>
        <w:widowControl w:val="0"/>
        <w:tabs>
          <w:tab w:val="left" w:pos="1759"/>
        </w:tabs>
        <w:kinsoku/>
        <w:wordWrap/>
        <w:overflowPunct/>
        <w:topLinePunct w:val="0"/>
        <w:autoSpaceDE/>
        <w:autoSpaceDN/>
        <w:bidi w:val="0"/>
        <w:adjustRightInd/>
        <w:spacing w:after="0" w:line="600" w:lineRule="exact"/>
        <w:ind w:right="0"/>
        <w:jc w:val="center"/>
        <w:textAlignment w:val="auto"/>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附则</w:t>
      </w:r>
    </w:p>
    <w:p w14:paraId="5FD40894">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pacing w:val="6"/>
          <w:w w:val="95"/>
          <w:sz w:val="32"/>
          <w:szCs w:val="32"/>
          <w:lang w:val="en-US" w:eastAsia="zh-CN"/>
        </w:rPr>
        <w:t>第十三条</w:t>
      </w:r>
      <w:r>
        <w:rPr>
          <w:rFonts w:hint="eastAsia" w:ascii="Times New Roman" w:hAnsi="Times New Roman" w:eastAsia="仿宋_GB2312" w:cs="Times New Roman"/>
          <w:sz w:val="32"/>
          <w:szCs w:val="32"/>
          <w:lang w:val="en-US" w:eastAsia="zh-CN"/>
        </w:rPr>
        <w:t xml:space="preserve"> 采购人与采购代理机构签订采购代理委托合同时，需在委托合同中明确采购代理机构需遵守平台基本管理制度。</w:t>
      </w:r>
    </w:p>
    <w:p w14:paraId="4F4B7C69">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ascii="Times New Roman" w:hAnsi="Times New Roman" w:eastAsia="仿宋_GB2312" w:cs="Times New Roman"/>
          <w:sz w:val="32"/>
          <w:szCs w:val="32"/>
        </w:rPr>
      </w:pPr>
      <w:r>
        <w:rPr>
          <w:rFonts w:hint="eastAsia" w:ascii="黑体" w:hAnsi="黑体" w:eastAsia="黑体" w:cs="黑体"/>
          <w:spacing w:val="6"/>
          <w:w w:val="95"/>
          <w:sz w:val="32"/>
          <w:szCs w:val="32"/>
        </w:rPr>
        <w:t>第</w:t>
      </w:r>
      <w:r>
        <w:rPr>
          <w:rFonts w:hint="eastAsia" w:ascii="黑体" w:hAnsi="黑体" w:eastAsia="黑体" w:cs="黑体"/>
          <w:spacing w:val="6"/>
          <w:w w:val="95"/>
          <w:sz w:val="32"/>
          <w:szCs w:val="32"/>
          <w:lang w:val="en-US" w:eastAsia="zh-CN"/>
        </w:rPr>
        <w:t>十四</w:t>
      </w:r>
      <w:r>
        <w:rPr>
          <w:rFonts w:hint="eastAsia" w:ascii="黑体" w:hAnsi="黑体" w:eastAsia="黑体" w:cs="黑体"/>
          <w:spacing w:val="6"/>
          <w:w w:val="95"/>
          <w:sz w:val="32"/>
          <w:szCs w:val="32"/>
        </w:rPr>
        <w:t>条</w:t>
      </w:r>
      <w:r>
        <w:rPr>
          <w:rFonts w:ascii="Times New Roman" w:hAnsi="Times New Roman" w:eastAsia="仿宋_GB2312" w:cs="Times New Roman"/>
          <w:sz w:val="32"/>
          <w:szCs w:val="32"/>
        </w:rPr>
        <w:t xml:space="preserve"> 本规定由湖州市联合产权交易有限公司负责解释。</w:t>
      </w:r>
    </w:p>
    <w:p w14:paraId="582108A9">
      <w:pPr>
        <w:keepNext w:val="0"/>
        <w:keepLines w:val="0"/>
        <w:pageBreakBefore w:val="0"/>
        <w:widowControl w:val="0"/>
        <w:kinsoku/>
        <w:wordWrap/>
        <w:overflowPunct/>
        <w:topLinePunct w:val="0"/>
        <w:autoSpaceDE/>
        <w:autoSpaceDN/>
        <w:bidi w:val="0"/>
        <w:adjustRightInd/>
        <w:spacing w:line="600" w:lineRule="exact"/>
        <w:ind w:right="0" w:firstLine="632" w:firstLineChars="200"/>
        <w:textAlignment w:val="auto"/>
        <w:rPr>
          <w:rFonts w:ascii="Times New Roman" w:hAnsi="Times New Roman" w:eastAsia="仿宋_GB2312" w:cs="Times New Roman"/>
          <w:sz w:val="32"/>
          <w:szCs w:val="32"/>
        </w:rPr>
      </w:pPr>
      <w:r>
        <w:rPr>
          <w:rFonts w:hint="eastAsia" w:ascii="黑体" w:hAnsi="黑体" w:eastAsia="黑体" w:cs="黑体"/>
          <w:spacing w:val="6"/>
          <w:w w:val="95"/>
          <w:sz w:val="32"/>
          <w:szCs w:val="32"/>
        </w:rPr>
        <w:t>第</w:t>
      </w:r>
      <w:r>
        <w:rPr>
          <w:rFonts w:hint="eastAsia" w:ascii="黑体" w:hAnsi="黑体" w:eastAsia="黑体" w:cs="黑体"/>
          <w:spacing w:val="6"/>
          <w:w w:val="95"/>
          <w:sz w:val="32"/>
          <w:szCs w:val="32"/>
          <w:lang w:val="en-US" w:eastAsia="zh-CN"/>
        </w:rPr>
        <w:t>十五</w:t>
      </w:r>
      <w:r>
        <w:rPr>
          <w:rFonts w:hint="eastAsia" w:ascii="黑体" w:hAnsi="黑体" w:eastAsia="黑体" w:cs="黑体"/>
          <w:spacing w:val="6"/>
          <w:w w:val="95"/>
          <w:sz w:val="32"/>
          <w:szCs w:val="32"/>
        </w:rPr>
        <w:t>条</w:t>
      </w:r>
      <w:r>
        <w:rPr>
          <w:rFonts w:ascii="Times New Roman" w:hAnsi="Times New Roman" w:eastAsia="仿宋_GB2312" w:cs="Times New Roman"/>
          <w:sz w:val="32"/>
          <w:szCs w:val="32"/>
        </w:rPr>
        <w:t xml:space="preserve"> 本规定自发布之日起实施。</w:t>
      </w:r>
    </w:p>
    <w:p w14:paraId="42A58D62">
      <w:pPr>
        <w:keepNext w:val="0"/>
        <w:keepLines w:val="0"/>
        <w:pageBreakBefore w:val="0"/>
        <w:widowControl w:val="0"/>
        <w:kinsoku/>
        <w:wordWrap/>
        <w:overflowPunct/>
        <w:topLinePunct w:val="0"/>
        <w:autoSpaceDE/>
        <w:autoSpaceDN/>
        <w:bidi w:val="0"/>
        <w:adjustRightInd/>
        <w:spacing w:line="600" w:lineRule="exact"/>
        <w:ind w:right="0" w:firstLine="640" w:firstLineChars="200"/>
        <w:textAlignment w:val="auto"/>
        <w:rPr>
          <w:rFonts w:hint="eastAsia" w:ascii="Times New Roman" w:hAnsi="Times New Roman" w:eastAsia="仿宋_GB2312" w:cs="Times New Roman"/>
          <w:sz w:val="32"/>
          <w:szCs w:val="32"/>
          <w:lang w:val="en-US" w:eastAsia="zh-CN"/>
        </w:rPr>
      </w:pPr>
    </w:p>
    <w:p w14:paraId="3E0BDC4F">
      <w:pPr>
        <w:keepNext w:val="0"/>
        <w:keepLines w:val="0"/>
        <w:pageBreakBefore w:val="0"/>
        <w:widowControl w:val="0"/>
        <w:kinsoku/>
        <w:wordWrap/>
        <w:overflowPunct/>
        <w:topLinePunct w:val="0"/>
        <w:autoSpaceDE/>
        <w:autoSpaceDN/>
        <w:bidi w:val="0"/>
        <w:adjustRightInd/>
        <w:spacing w:line="600" w:lineRule="exact"/>
        <w:ind w:right="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附件: </w:t>
      </w:r>
    </w:p>
    <w:p w14:paraId="088DC817">
      <w:pPr>
        <w:keepNext w:val="0"/>
        <w:keepLines w:val="0"/>
        <w:pageBreakBefore w:val="0"/>
        <w:widowControl w:val="0"/>
        <w:kinsoku/>
        <w:wordWrap/>
        <w:overflowPunct/>
        <w:topLinePunct w:val="0"/>
        <w:autoSpaceDE/>
        <w:autoSpaceDN/>
        <w:bidi w:val="0"/>
        <w:adjustRightInd/>
        <w:spacing w:line="600" w:lineRule="exact"/>
        <w:ind w:right="0" w:firstLine="640" w:firstLineChars="200"/>
        <w:textAlignment w:val="auto"/>
        <w:outlineLvl w:val="1"/>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1.采购代理机构项目评价标准(采购人)</w:t>
      </w:r>
    </w:p>
    <w:p w14:paraId="08EF5D33">
      <w:pPr>
        <w:keepNext w:val="0"/>
        <w:keepLines w:val="0"/>
        <w:pageBreakBefore w:val="0"/>
        <w:widowControl w:val="0"/>
        <w:kinsoku/>
        <w:wordWrap/>
        <w:overflowPunct/>
        <w:topLinePunct w:val="0"/>
        <w:autoSpaceDE/>
        <w:autoSpaceDN/>
        <w:bidi w:val="0"/>
        <w:adjustRightInd/>
        <w:spacing w:line="600" w:lineRule="exact"/>
        <w:ind w:right="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2.采购代理机构项目评价标准(平台)</w:t>
      </w:r>
    </w:p>
    <w:p w14:paraId="39289A98">
      <w:pPr>
        <w:keepNext w:val="0"/>
        <w:keepLines w:val="0"/>
        <w:pageBreakBefore w:val="0"/>
        <w:widowControl w:val="0"/>
        <w:kinsoku/>
        <w:wordWrap/>
        <w:overflowPunct/>
        <w:topLinePunct w:val="0"/>
        <w:autoSpaceDE/>
        <w:autoSpaceDN/>
        <w:bidi w:val="0"/>
        <w:adjustRightInd/>
        <w:spacing w:line="600" w:lineRule="exact"/>
        <w:ind w:right="0" w:firstLine="640" w:firstLineChars="200"/>
        <w:textAlignment w:val="auto"/>
        <w:outlineLvl w:val="1"/>
        <w:rPr>
          <w:rFonts w:hint="default"/>
          <w:lang w:val="en-US" w:eastAsia="zh-CN"/>
        </w:rPr>
      </w:pPr>
      <w:r>
        <w:rPr>
          <w:rFonts w:hint="eastAsia" w:eastAsia="仿宋_GB2312" w:cs="Times New Roman"/>
          <w:sz w:val="32"/>
          <w:szCs w:val="32"/>
          <w:lang w:val="en-US" w:eastAsia="zh-CN"/>
        </w:rPr>
        <w:t>3.采购代理机构动态评价标准</w:t>
      </w:r>
    </w:p>
    <w:p w14:paraId="72628684">
      <w:pPr>
        <w:pStyle w:val="4"/>
        <w:widowControl w:val="0"/>
        <w:numPr>
          <w:ilvl w:val="0"/>
          <w:numId w:val="0"/>
        </w:numPr>
        <w:snapToGrid w:val="0"/>
        <w:jc w:val="left"/>
        <w:rPr>
          <w:rFonts w:hint="eastAsia"/>
          <w:lang w:val="en-US" w:eastAsia="zh-CN"/>
        </w:rPr>
      </w:pPr>
    </w:p>
    <w:p w14:paraId="51A7D05D">
      <w:pPr>
        <w:spacing w:line="600" w:lineRule="exact"/>
        <w:jc w:val="left"/>
        <w:outlineLvl w:val="0"/>
        <w:rPr>
          <w:rFonts w:hint="eastAsia" w:ascii="楷体_GB2312" w:hAnsi="楷体_GB2312" w:eastAsia="楷体_GB2312" w:cs="楷体_GB2312"/>
          <w:sz w:val="32"/>
          <w:szCs w:val="32"/>
          <w:lang w:val="en-US" w:eastAsia="zh-CN"/>
        </w:rPr>
      </w:pPr>
    </w:p>
    <w:p w14:paraId="250A2FD8">
      <w:pPr>
        <w:spacing w:line="600" w:lineRule="exact"/>
        <w:jc w:val="left"/>
        <w:outlineLvl w:val="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附件1：</w:t>
      </w:r>
    </w:p>
    <w:p w14:paraId="039471DD">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Times New Roman" w:hAnsi="Times New Roman" w:eastAsia="方正小标宋简体" w:cs="Times New Roman"/>
          <w:sz w:val="44"/>
          <w:szCs w:val="44"/>
          <w:lang w:val="en-US" w:eastAsia="zh-CN"/>
        </w:rPr>
      </w:pPr>
    </w:p>
    <w:p w14:paraId="7E4F6410">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采购代理机构项目评价标准(采购人)</w:t>
      </w:r>
    </w:p>
    <w:p w14:paraId="27BEE796">
      <w:pPr>
        <w:pStyle w:val="7"/>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lang w:val="en-US" w:eastAsia="zh-CN"/>
        </w:rPr>
      </w:pPr>
    </w:p>
    <w:tbl>
      <w:tblPr>
        <w:tblStyle w:val="8"/>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4"/>
        <w:gridCol w:w="1200"/>
        <w:gridCol w:w="854"/>
        <w:gridCol w:w="5611"/>
      </w:tblGrid>
      <w:tr w14:paraId="7EAB0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4CDDE">
            <w:pPr>
              <w:keepNext w:val="0"/>
              <w:keepLines w:val="0"/>
              <w:widowControl/>
              <w:suppressLineNumbers w:val="0"/>
              <w:spacing w:line="600" w:lineRule="exact"/>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DA712">
            <w:pPr>
              <w:keepNext w:val="0"/>
              <w:keepLines w:val="0"/>
              <w:widowControl/>
              <w:suppressLineNumbers w:val="0"/>
              <w:spacing w:line="6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评价项目</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52802">
            <w:pPr>
              <w:keepNext w:val="0"/>
              <w:keepLines w:val="0"/>
              <w:widowControl/>
              <w:suppressLineNumbers w:val="0"/>
              <w:spacing w:line="6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c>
          <w:tcPr>
            <w:tcW w:w="5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0A03">
            <w:pPr>
              <w:keepNext w:val="0"/>
              <w:keepLines w:val="0"/>
              <w:widowControl/>
              <w:suppressLineNumbers w:val="0"/>
              <w:spacing w:line="6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评价标准</w:t>
            </w:r>
          </w:p>
        </w:tc>
      </w:tr>
      <w:tr w14:paraId="1433B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jc w:val="center"/>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BE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06D2">
            <w:pPr>
              <w:keepNext w:val="0"/>
              <w:keepLines w:val="0"/>
              <w:widowControl/>
              <w:suppressLineNumbers w:val="0"/>
              <w:jc w:val="left"/>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服务总体评价</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CB6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5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C960">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代理专业素质高、服务质量好的为满意(30 分-40 分)；</w:t>
            </w:r>
          </w:p>
          <w:p w14:paraId="6463B71D">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代理专业素质较高、服务成果质量较好的为基本满意( 20 分-30分 );</w:t>
            </w:r>
          </w:p>
          <w:p w14:paraId="56593D62">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代理专业素质一般、服务成果质量一般的为一般满意 (10分-20分)；</w:t>
            </w:r>
          </w:p>
          <w:p w14:paraId="15DFA86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代理专业素质低、服务成果质量差的为不满意 (0分-10分)</w:t>
            </w:r>
          </w:p>
        </w:tc>
      </w:tr>
      <w:tr w14:paraId="2DB9A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AA7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A90E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服务收费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DC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5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996C">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 xml:space="preserve">按合同约定收费标准收费的为满意 (10 分-20 分 ); </w:t>
            </w:r>
          </w:p>
          <w:p w14:paraId="718C815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未按合同约定收费标准收费的为不满意 (0分-10分)。</w:t>
            </w:r>
          </w:p>
        </w:tc>
      </w:tr>
      <w:tr w14:paraId="042F5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jc w:val="center"/>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2E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9BCD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服务态度</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96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5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F28C">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态度热情，服务主动的为满意 (15 分-20分);</w:t>
            </w:r>
          </w:p>
          <w:p w14:paraId="68F8120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服务工作基本到位为基本满意 (10 分-15 分 ) ；服务态度较差，告知不清的为不满意 (0 分-10 分 )。</w:t>
            </w:r>
          </w:p>
        </w:tc>
      </w:tr>
      <w:tr w14:paraId="0A058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jc w:val="center"/>
        </w:trPr>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D2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884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服务效率</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40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5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801C0">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在合同约定时限内完成工作的，采购人原因造成延迟的且在延迟期间内完成工作的为满意 (15 分-20分);</w:t>
            </w:r>
          </w:p>
          <w:p w14:paraId="75E14CD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因采购代理机构原因未在合同约定时限内完成工作(0分-15分)。</w:t>
            </w:r>
          </w:p>
        </w:tc>
      </w:tr>
    </w:tbl>
    <w:p w14:paraId="37EABAE4">
      <w:pPr>
        <w:widowControl/>
        <w:textAlignment w:val="center"/>
        <w:rPr>
          <w:rFonts w:hint="eastAsia" w:ascii="仿宋" w:hAnsi="仿宋" w:eastAsia="仿宋" w:cs="仿宋"/>
          <w:color w:val="000000"/>
          <w:kern w:val="0"/>
          <w:sz w:val="24"/>
          <w:szCs w:val="24"/>
          <w:u w:val="none"/>
          <w:lang w:val="en-US" w:eastAsia="zh-CN" w:bidi="ar"/>
        </w:rPr>
      </w:pPr>
    </w:p>
    <w:p w14:paraId="1242878F">
      <w:pPr>
        <w:widowControl/>
        <w:textAlignment w:val="center"/>
        <w:rPr>
          <w:rFonts w:hint="eastAsia" w:ascii="仿宋" w:hAnsi="仿宋" w:eastAsia="仿宋" w:cs="仿宋"/>
          <w:color w:val="000000"/>
          <w:kern w:val="0"/>
          <w:sz w:val="24"/>
          <w:szCs w:val="24"/>
          <w:u w:val="none"/>
          <w:lang w:val="en-US" w:eastAsia="zh-CN" w:bidi="ar"/>
        </w:rPr>
      </w:pPr>
      <w:r>
        <w:rPr>
          <w:rFonts w:hint="eastAsia" w:ascii="仿宋" w:hAnsi="仿宋" w:eastAsia="仿宋" w:cs="仿宋"/>
          <w:color w:val="000000"/>
          <w:kern w:val="0"/>
          <w:sz w:val="24"/>
          <w:szCs w:val="24"/>
          <w:u w:val="none"/>
          <w:lang w:val="en-US" w:eastAsia="zh-CN" w:bidi="ar"/>
        </w:rPr>
        <w:t>注：如有扣分需备注原因。</w:t>
      </w:r>
    </w:p>
    <w:p w14:paraId="71A5E97A">
      <w:pPr>
        <w:pStyle w:val="4"/>
        <w:rPr>
          <w:rFonts w:hint="eastAsia" w:ascii="Times New Roman" w:hAnsi="Times New Roman" w:eastAsia="仿宋_GB2312" w:cs="Times New Roman"/>
          <w:sz w:val="32"/>
          <w:szCs w:val="32"/>
          <w:lang w:val="en-US" w:eastAsia="zh-CN"/>
        </w:rPr>
      </w:pPr>
    </w:p>
    <w:p w14:paraId="5F8F9D98">
      <w:pPr>
        <w:pStyle w:val="4"/>
        <w:rPr>
          <w:rFonts w:hint="eastAsia" w:ascii="Times New Roman" w:hAnsi="Times New Roman" w:eastAsia="仿宋_GB2312" w:cs="Times New Roman"/>
          <w:sz w:val="32"/>
          <w:szCs w:val="32"/>
          <w:lang w:val="en-US" w:eastAsia="zh-CN"/>
        </w:rPr>
      </w:pPr>
    </w:p>
    <w:p w14:paraId="1196C29D">
      <w:pPr>
        <w:pStyle w:val="4"/>
        <w:rPr>
          <w:rFonts w:hint="eastAsia" w:ascii="Times New Roman" w:hAnsi="Times New Roman" w:eastAsia="仿宋_GB2312" w:cs="Times New Roman"/>
          <w:sz w:val="32"/>
          <w:szCs w:val="32"/>
          <w:lang w:val="en-US" w:eastAsia="zh-CN"/>
        </w:rPr>
      </w:pPr>
    </w:p>
    <w:p w14:paraId="577F69E0">
      <w:pPr>
        <w:pStyle w:val="4"/>
        <w:rPr>
          <w:rFonts w:hint="eastAsia" w:ascii="Times New Roman" w:hAnsi="Times New Roman" w:eastAsia="仿宋_GB2312" w:cs="Times New Roman"/>
          <w:sz w:val="32"/>
          <w:szCs w:val="32"/>
          <w:lang w:val="en-US" w:eastAsia="zh-CN"/>
        </w:rPr>
      </w:pPr>
    </w:p>
    <w:p w14:paraId="13C7FE40">
      <w:pPr>
        <w:pStyle w:val="4"/>
        <w:rPr>
          <w:rFonts w:hint="eastAsia" w:ascii="Times New Roman" w:hAnsi="Times New Roman" w:eastAsia="仿宋_GB2312" w:cs="Times New Roman"/>
          <w:sz w:val="32"/>
          <w:szCs w:val="32"/>
          <w:lang w:val="en-US" w:eastAsia="zh-CN"/>
        </w:rPr>
      </w:pPr>
    </w:p>
    <w:p w14:paraId="6FCDCD4F">
      <w:pPr>
        <w:pStyle w:val="4"/>
        <w:rPr>
          <w:rFonts w:hint="eastAsia" w:ascii="Times New Roman" w:hAnsi="Times New Roman" w:eastAsia="仿宋_GB2312" w:cs="Times New Roman"/>
          <w:sz w:val="32"/>
          <w:szCs w:val="32"/>
          <w:lang w:val="en-US" w:eastAsia="zh-CN"/>
        </w:rPr>
      </w:pPr>
    </w:p>
    <w:p w14:paraId="647A3F91">
      <w:pPr>
        <w:pStyle w:val="4"/>
        <w:rPr>
          <w:rFonts w:hint="eastAsia" w:ascii="Times New Roman" w:hAnsi="Times New Roman" w:eastAsia="仿宋_GB2312" w:cs="Times New Roman"/>
          <w:sz w:val="32"/>
          <w:szCs w:val="32"/>
          <w:lang w:val="en-US" w:eastAsia="zh-CN"/>
        </w:rPr>
      </w:pPr>
    </w:p>
    <w:p w14:paraId="5872CEE0">
      <w:pPr>
        <w:pStyle w:val="4"/>
        <w:rPr>
          <w:rFonts w:hint="eastAsia" w:ascii="Times New Roman" w:hAnsi="Times New Roman" w:eastAsia="仿宋_GB2312" w:cs="Times New Roman"/>
          <w:sz w:val="32"/>
          <w:szCs w:val="32"/>
          <w:lang w:val="en-US" w:eastAsia="zh-CN"/>
        </w:rPr>
      </w:pPr>
    </w:p>
    <w:p w14:paraId="0915BF53">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附件2：</w:t>
      </w:r>
    </w:p>
    <w:p w14:paraId="31F5C49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sz w:val="44"/>
          <w:szCs w:val="44"/>
          <w:lang w:val="en-US" w:eastAsia="zh-CN"/>
        </w:rPr>
      </w:pPr>
    </w:p>
    <w:p w14:paraId="300AB32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采购代理机构项目评价标准(平台)</w:t>
      </w:r>
    </w:p>
    <w:p w14:paraId="3CB82F98">
      <w:pPr>
        <w:pStyle w:val="7"/>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lang w:val="en-US" w:eastAsia="zh-CN"/>
        </w:rPr>
      </w:pPr>
    </w:p>
    <w:tbl>
      <w:tblPr>
        <w:tblStyle w:val="8"/>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88"/>
        <w:gridCol w:w="994"/>
        <w:gridCol w:w="6537"/>
      </w:tblGrid>
      <w:tr w14:paraId="400FE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3167">
            <w:pPr>
              <w:keepNext w:val="0"/>
              <w:keepLines w:val="0"/>
              <w:widowControl/>
              <w:suppressLineNumbers w:val="0"/>
              <w:spacing w:line="600" w:lineRule="exact"/>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08FB1">
            <w:pPr>
              <w:keepNext w:val="0"/>
              <w:keepLines w:val="0"/>
              <w:widowControl/>
              <w:suppressLineNumbers w:val="0"/>
              <w:spacing w:line="6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c>
          <w:tcPr>
            <w:tcW w:w="6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193C">
            <w:pPr>
              <w:keepNext w:val="0"/>
              <w:keepLines w:val="0"/>
              <w:widowControl/>
              <w:suppressLineNumbers w:val="0"/>
              <w:spacing w:line="6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评价标准</w:t>
            </w:r>
          </w:p>
        </w:tc>
      </w:tr>
      <w:tr w14:paraId="4A235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25BA">
            <w:pPr>
              <w:keepNext w:val="0"/>
              <w:keepLines w:val="0"/>
              <w:widowControl/>
              <w:suppressLineNumbers w:val="0"/>
              <w:jc w:val="center"/>
              <w:textAlignment w:val="center"/>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FE22D">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0.</w:t>
            </w:r>
            <w:r>
              <w:rPr>
                <w:rFonts w:hint="default" w:ascii="仿宋" w:hAnsi="仿宋" w:eastAsia="仿宋" w:cs="仿宋"/>
                <w:i w:val="0"/>
                <w:iCs w:val="0"/>
                <w:color w:val="000000"/>
                <w:sz w:val="24"/>
                <w:szCs w:val="24"/>
                <w:highlight w:val="none"/>
                <w:u w:val="none"/>
                <w:lang w:eastAsia="zh-CN"/>
              </w:rPr>
              <w:t>1</w:t>
            </w:r>
            <w:r>
              <w:rPr>
                <w:rFonts w:hint="eastAsia" w:ascii="仿宋" w:hAnsi="仿宋" w:eastAsia="仿宋" w:cs="仿宋"/>
                <w:i w:val="0"/>
                <w:iCs w:val="0"/>
                <w:color w:val="000000"/>
                <w:sz w:val="24"/>
                <w:szCs w:val="24"/>
                <w:highlight w:val="none"/>
                <w:u w:val="none"/>
                <w:lang w:val="en-US" w:eastAsia="zh-CN"/>
              </w:rPr>
              <w:t>分/项</w:t>
            </w:r>
          </w:p>
        </w:tc>
        <w:tc>
          <w:tcPr>
            <w:tcW w:w="6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DD0E">
            <w:pPr>
              <w:pStyle w:val="4"/>
              <w:keepNext w:val="0"/>
              <w:keepLines w:val="0"/>
              <w:widowControl/>
              <w:suppressLineNumbers w:val="0"/>
              <w:jc w:val="left"/>
              <w:textAlignment w:val="auto"/>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1.项目受理环节</w:t>
            </w:r>
          </w:p>
          <w:p w14:paraId="0E088D9F">
            <w:pPr>
              <w:pStyle w:val="4"/>
              <w:keepNext w:val="0"/>
              <w:keepLines w:val="0"/>
              <w:widowControl/>
              <w:suppressLineNumbers w:val="0"/>
              <w:jc w:val="left"/>
              <w:textAlignment w:val="auto"/>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（1）上传备案资料未提供公司决策类文件或与本项目相关的文件；</w:t>
            </w:r>
          </w:p>
          <w:p w14:paraId="210FC95F">
            <w:pPr>
              <w:pStyle w:val="4"/>
              <w:keepNext w:val="0"/>
              <w:keepLines w:val="0"/>
              <w:widowControl/>
              <w:suppressLineNumbers w:val="0"/>
              <w:jc w:val="left"/>
              <w:textAlignment w:val="auto"/>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（2）系统录入时，项目金额、交易分类等信息填写有误、未签章的。</w:t>
            </w:r>
          </w:p>
          <w:p w14:paraId="7728C11D">
            <w:pPr>
              <w:pStyle w:val="4"/>
              <w:keepNext w:val="0"/>
              <w:keepLines w:val="0"/>
              <w:widowControl/>
              <w:suppressLineNumbers w:val="0"/>
              <w:jc w:val="left"/>
              <w:textAlignment w:val="auto"/>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2.采购文件及公告环节</w:t>
            </w:r>
          </w:p>
          <w:p w14:paraId="3B85907A">
            <w:pPr>
              <w:pStyle w:val="4"/>
              <w:keepNext w:val="0"/>
              <w:keepLines w:val="0"/>
              <w:widowControl/>
              <w:suppressLineNumbers w:val="0"/>
              <w:jc w:val="left"/>
              <w:textAlignment w:val="auto"/>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（1）采购文件内容设置不合理的资格条件、评分组成的；采购文件存在明显的矛盾，前后不一致的；采购文件相关描述未按照平台最新规范的；</w:t>
            </w:r>
          </w:p>
          <w:p w14:paraId="247A57BE">
            <w:pPr>
              <w:pStyle w:val="4"/>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（2）系统录入招标控制价、保证金金额、投标截止时间、提疑截止时间等信息填写有误、未上传采购文件附件、未签章的。</w:t>
            </w:r>
          </w:p>
          <w:p w14:paraId="39C621BA">
            <w:pPr>
              <w:pStyle w:val="4"/>
              <w:rPr>
                <w:rFonts w:hint="default" w:ascii="仿宋" w:hAnsi="仿宋" w:eastAsia="仿宋" w:cs="仿宋"/>
                <w:i w:val="0"/>
                <w:iCs w:val="0"/>
                <w:color w:val="000000"/>
                <w:sz w:val="24"/>
                <w:szCs w:val="24"/>
                <w:u w:val="none"/>
                <w:lang w:eastAsia="zh-CN"/>
              </w:rPr>
            </w:pPr>
            <w:r>
              <w:rPr>
                <w:rFonts w:hint="default" w:ascii="仿宋" w:hAnsi="仿宋" w:eastAsia="仿宋" w:cs="仿宋"/>
                <w:i w:val="0"/>
                <w:iCs w:val="0"/>
                <w:color w:val="000000"/>
                <w:sz w:val="24"/>
                <w:szCs w:val="24"/>
                <w:u w:val="none"/>
                <w:lang w:eastAsia="zh-CN"/>
              </w:rPr>
              <w:t>3.专家抽取环节</w:t>
            </w:r>
          </w:p>
          <w:p w14:paraId="4098B25F">
            <w:pPr>
              <w:pStyle w:val="4"/>
              <w:rPr>
                <w:rFonts w:hint="default" w:ascii="仿宋" w:hAnsi="仿宋" w:eastAsia="仿宋" w:cs="仿宋"/>
                <w:i w:val="0"/>
                <w:iCs w:val="0"/>
                <w:color w:val="000000"/>
                <w:sz w:val="24"/>
                <w:szCs w:val="24"/>
                <w:u w:val="none"/>
                <w:lang w:val="en-US" w:eastAsia="zh-CN"/>
              </w:rPr>
            </w:pPr>
            <w:r>
              <w:rPr>
                <w:rFonts w:hint="default" w:ascii="仿宋" w:hAnsi="仿宋" w:eastAsia="仿宋" w:cs="仿宋"/>
                <w:i w:val="0"/>
                <w:iCs w:val="0"/>
                <w:color w:val="000000"/>
                <w:sz w:val="24"/>
                <w:szCs w:val="24"/>
                <w:u w:val="none"/>
                <w:lang w:eastAsia="zh-CN"/>
              </w:rPr>
              <w:t>专家抽取信息填写错误，提交审核后需退回的。</w:t>
            </w:r>
          </w:p>
        </w:tc>
      </w:tr>
      <w:tr w14:paraId="62B1E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4"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222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FD3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0.5分/项</w:t>
            </w:r>
          </w:p>
        </w:tc>
        <w:tc>
          <w:tcPr>
            <w:tcW w:w="6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A981">
            <w:pPr>
              <w:pStyle w:val="4"/>
              <w:keepNext w:val="0"/>
              <w:keepLines w:val="0"/>
              <w:widowControl/>
              <w:suppressLineNumbers w:val="0"/>
              <w:jc w:val="left"/>
              <w:textAlignment w:val="auto"/>
              <w:rPr>
                <w:rFonts w:hint="eastAsia" w:ascii="仿宋" w:hAnsi="仿宋" w:eastAsia="仿宋" w:cs="仿宋"/>
                <w:i w:val="0"/>
                <w:iCs w:val="0"/>
                <w:color w:val="000000"/>
                <w:sz w:val="24"/>
                <w:szCs w:val="24"/>
                <w:u w:val="none"/>
                <w:lang w:val="en-US" w:eastAsia="zh-CN"/>
              </w:rPr>
            </w:pPr>
            <w:r>
              <w:rPr>
                <w:rFonts w:hint="default" w:ascii="仿宋" w:hAnsi="仿宋" w:eastAsia="仿宋" w:cs="仿宋"/>
                <w:i w:val="0"/>
                <w:iCs w:val="0"/>
                <w:color w:val="000000"/>
                <w:sz w:val="24"/>
                <w:szCs w:val="24"/>
                <w:u w:val="none"/>
                <w:lang w:eastAsia="zh-CN"/>
              </w:rPr>
              <w:t>1</w:t>
            </w:r>
            <w:r>
              <w:rPr>
                <w:rFonts w:hint="eastAsia" w:ascii="仿宋" w:hAnsi="仿宋" w:eastAsia="仿宋" w:cs="仿宋"/>
                <w:i w:val="0"/>
                <w:iCs w:val="0"/>
                <w:color w:val="000000"/>
                <w:sz w:val="24"/>
                <w:szCs w:val="24"/>
                <w:u w:val="none"/>
                <w:lang w:val="en-US" w:eastAsia="zh-CN"/>
              </w:rPr>
              <w:t>.中标候选人公示环节</w:t>
            </w:r>
          </w:p>
          <w:p w14:paraId="74825305">
            <w:pPr>
              <w:pStyle w:val="4"/>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（1）文件公示时间、中标候选人中标价等信息填写有误，未填写监督小组的；</w:t>
            </w:r>
          </w:p>
          <w:p w14:paraId="4C6992C5">
            <w:pPr>
              <w:pStyle w:val="4"/>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（2）系统录入公示时间填写有误、获取的投标单位数量与公示内容不一致、未签章的。</w:t>
            </w:r>
          </w:p>
          <w:p w14:paraId="5396379D">
            <w:pPr>
              <w:pStyle w:val="4"/>
              <w:rPr>
                <w:rFonts w:hint="eastAsia" w:ascii="仿宋" w:hAnsi="仿宋" w:eastAsia="仿宋" w:cs="仿宋"/>
                <w:i w:val="0"/>
                <w:iCs w:val="0"/>
                <w:color w:val="000000"/>
                <w:sz w:val="24"/>
                <w:szCs w:val="24"/>
                <w:u w:val="none"/>
                <w:lang w:val="en-US" w:eastAsia="zh-CN"/>
              </w:rPr>
            </w:pPr>
            <w:r>
              <w:rPr>
                <w:rFonts w:hint="default" w:ascii="仿宋" w:hAnsi="仿宋" w:eastAsia="仿宋" w:cs="仿宋"/>
                <w:i w:val="0"/>
                <w:iCs w:val="0"/>
                <w:color w:val="000000"/>
                <w:sz w:val="24"/>
                <w:szCs w:val="24"/>
                <w:u w:val="none"/>
                <w:lang w:eastAsia="zh-CN"/>
              </w:rPr>
              <w:t>2</w:t>
            </w:r>
            <w:r>
              <w:rPr>
                <w:rFonts w:hint="eastAsia" w:ascii="仿宋" w:hAnsi="仿宋" w:eastAsia="仿宋" w:cs="仿宋"/>
                <w:i w:val="0"/>
                <w:iCs w:val="0"/>
                <w:color w:val="000000"/>
                <w:sz w:val="24"/>
                <w:szCs w:val="24"/>
                <w:u w:val="none"/>
                <w:lang w:val="en-US" w:eastAsia="zh-CN"/>
              </w:rPr>
              <w:t>.成交公告环节</w:t>
            </w:r>
          </w:p>
          <w:p w14:paraId="15B91CC5">
            <w:pPr>
              <w:pStyle w:val="4"/>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（1）文件中标单位、中标金额、公告时间等信息填写有误；</w:t>
            </w:r>
          </w:p>
          <w:p w14:paraId="7F62D688">
            <w:pPr>
              <w:pStyle w:val="4"/>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（2）系统录入中标单位、中标金额、公示时间、交易服务费金额等信息填写有误、未签章的。</w:t>
            </w:r>
          </w:p>
          <w:p w14:paraId="2FAA2E22">
            <w:pPr>
              <w:pStyle w:val="4"/>
              <w:rPr>
                <w:rFonts w:hint="default" w:ascii="仿宋" w:hAnsi="仿宋" w:eastAsia="仿宋" w:cs="仿宋"/>
                <w:i w:val="0"/>
                <w:iCs w:val="0"/>
                <w:color w:val="000000"/>
                <w:sz w:val="24"/>
                <w:szCs w:val="24"/>
                <w:u w:val="none"/>
                <w:lang w:eastAsia="zh-CN"/>
              </w:rPr>
            </w:pPr>
            <w:r>
              <w:rPr>
                <w:rFonts w:hint="default" w:ascii="仿宋" w:hAnsi="仿宋" w:eastAsia="仿宋" w:cs="仿宋"/>
                <w:i w:val="0"/>
                <w:iCs w:val="0"/>
                <w:color w:val="000000"/>
                <w:sz w:val="24"/>
                <w:szCs w:val="24"/>
                <w:u w:val="none"/>
                <w:lang w:eastAsia="zh-CN"/>
              </w:rPr>
              <w:t>3.现场管理</w:t>
            </w:r>
          </w:p>
          <w:p w14:paraId="44738982">
            <w:pPr>
              <w:pStyle w:val="4"/>
              <w:rPr>
                <w:rFonts w:hint="default" w:ascii="仿宋" w:hAnsi="仿宋" w:eastAsia="仿宋" w:cs="仿宋"/>
                <w:i w:val="0"/>
                <w:iCs w:val="0"/>
                <w:color w:val="000000"/>
                <w:sz w:val="24"/>
                <w:szCs w:val="24"/>
                <w:u w:val="none"/>
                <w:lang w:eastAsia="zh-CN"/>
              </w:rPr>
            </w:pPr>
            <w:r>
              <w:rPr>
                <w:rFonts w:hint="default" w:ascii="仿宋" w:hAnsi="仿宋" w:eastAsia="仿宋" w:cs="仿宋"/>
                <w:i w:val="0"/>
                <w:iCs w:val="0"/>
                <w:color w:val="000000"/>
                <w:sz w:val="24"/>
                <w:szCs w:val="24"/>
                <w:u w:val="none"/>
                <w:lang w:eastAsia="zh-CN"/>
              </w:rPr>
              <w:t>（1）场地预定不合理，影响其他项目评审的</w:t>
            </w:r>
            <w:r>
              <w:rPr>
                <w:rFonts w:hint="eastAsia" w:ascii="仿宋" w:hAnsi="仿宋" w:eastAsia="仿宋" w:cs="仿宋"/>
                <w:i w:val="0"/>
                <w:iCs w:val="0"/>
                <w:color w:val="000000"/>
                <w:sz w:val="24"/>
                <w:szCs w:val="24"/>
                <w:u w:val="none"/>
                <w:lang w:eastAsia="zh-CN"/>
              </w:rPr>
              <w:t>；</w:t>
            </w:r>
          </w:p>
          <w:p w14:paraId="473AE392">
            <w:pPr>
              <w:pStyle w:val="4"/>
              <w:rPr>
                <w:rFonts w:hint="default" w:ascii="仿宋" w:hAnsi="仿宋" w:eastAsia="仿宋" w:cs="仿宋"/>
                <w:i w:val="0"/>
                <w:iCs w:val="0"/>
                <w:color w:val="000000"/>
                <w:sz w:val="24"/>
                <w:szCs w:val="24"/>
                <w:u w:val="none"/>
                <w:lang w:eastAsia="zh-CN"/>
              </w:rPr>
            </w:pPr>
            <w:r>
              <w:rPr>
                <w:rFonts w:hint="default" w:ascii="仿宋" w:hAnsi="仿宋" w:eastAsia="仿宋" w:cs="仿宋"/>
                <w:i w:val="0"/>
                <w:iCs w:val="0"/>
                <w:color w:val="000000"/>
                <w:sz w:val="24"/>
                <w:szCs w:val="24"/>
                <w:u w:val="none"/>
                <w:lang w:eastAsia="zh-CN"/>
              </w:rPr>
              <w:t>（2）业主授权委托书原件逾期一周未提供的</w:t>
            </w:r>
            <w:r>
              <w:rPr>
                <w:rFonts w:hint="eastAsia" w:ascii="仿宋" w:hAnsi="仿宋" w:eastAsia="仿宋" w:cs="仿宋"/>
                <w:i w:val="0"/>
                <w:iCs w:val="0"/>
                <w:color w:val="000000"/>
                <w:sz w:val="24"/>
                <w:szCs w:val="24"/>
                <w:u w:val="none"/>
                <w:lang w:eastAsia="zh-CN"/>
              </w:rPr>
              <w:t>；</w:t>
            </w:r>
          </w:p>
          <w:p w14:paraId="19338611">
            <w:pPr>
              <w:pStyle w:val="4"/>
              <w:rPr>
                <w:rFonts w:hint="default" w:ascii="仿宋" w:hAnsi="仿宋" w:eastAsia="仿宋" w:cs="仿宋"/>
                <w:i w:val="0"/>
                <w:iCs w:val="0"/>
                <w:color w:val="000000"/>
                <w:sz w:val="24"/>
                <w:szCs w:val="24"/>
                <w:u w:val="none"/>
                <w:lang w:val="en-US" w:eastAsia="zh-CN"/>
              </w:rPr>
            </w:pPr>
            <w:r>
              <w:rPr>
                <w:rFonts w:hint="default"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lang w:val="en-US" w:eastAsia="zh-CN"/>
              </w:rPr>
              <w:t>3</w:t>
            </w:r>
            <w:r>
              <w:rPr>
                <w:rFonts w:hint="default" w:ascii="仿宋" w:hAnsi="仿宋" w:eastAsia="仿宋" w:cs="仿宋"/>
                <w:i w:val="0"/>
                <w:iCs w:val="0"/>
                <w:color w:val="000000"/>
                <w:sz w:val="24"/>
                <w:szCs w:val="24"/>
                <w:u w:val="none"/>
                <w:lang w:eastAsia="zh-CN"/>
              </w:rPr>
              <w:t>）</w:t>
            </w:r>
            <w:r>
              <w:rPr>
                <w:rFonts w:hint="eastAsia" w:ascii="仿宋" w:hAnsi="仿宋" w:eastAsia="仿宋" w:cs="仿宋"/>
                <w:i w:val="0"/>
                <w:iCs w:val="0"/>
                <w:color w:val="000000"/>
                <w:sz w:val="24"/>
                <w:szCs w:val="24"/>
                <w:u w:val="none"/>
                <w:lang w:val="en-US" w:eastAsia="zh-CN"/>
              </w:rPr>
              <w:t>其他开评标现场中存在的违规违纪的行为。</w:t>
            </w:r>
          </w:p>
          <w:p w14:paraId="22A24E9C">
            <w:pPr>
              <w:pStyle w:val="4"/>
              <w:rPr>
                <w:rFonts w:hint="default" w:ascii="仿宋" w:hAnsi="仿宋" w:eastAsia="仿宋" w:cs="仿宋"/>
                <w:i w:val="0"/>
                <w:iCs w:val="0"/>
                <w:color w:val="000000"/>
                <w:sz w:val="24"/>
                <w:szCs w:val="24"/>
                <w:u w:val="none"/>
                <w:lang w:eastAsia="zh-CN"/>
              </w:rPr>
            </w:pPr>
            <w:r>
              <w:rPr>
                <w:rFonts w:hint="default" w:ascii="仿宋" w:hAnsi="仿宋" w:eastAsia="仿宋" w:cs="仿宋"/>
                <w:i w:val="0"/>
                <w:iCs w:val="0"/>
                <w:color w:val="000000"/>
                <w:sz w:val="24"/>
                <w:szCs w:val="24"/>
                <w:u w:val="none"/>
                <w:lang w:eastAsia="zh-CN"/>
              </w:rPr>
              <w:t>4.中标通知书</w:t>
            </w:r>
            <w:r>
              <w:rPr>
                <w:rFonts w:hint="eastAsia" w:ascii="仿宋" w:hAnsi="仿宋" w:eastAsia="仿宋" w:cs="仿宋"/>
                <w:i w:val="0"/>
                <w:iCs w:val="0"/>
                <w:color w:val="000000"/>
                <w:sz w:val="24"/>
                <w:szCs w:val="24"/>
                <w:u w:val="none"/>
                <w:lang w:val="en-US" w:eastAsia="zh-CN"/>
              </w:rPr>
              <w:t>环节</w:t>
            </w:r>
          </w:p>
          <w:p w14:paraId="3E055223">
            <w:pPr>
              <w:pStyle w:val="4"/>
              <w:rPr>
                <w:rFonts w:hint="default" w:ascii="仿宋" w:hAnsi="仿宋" w:eastAsia="仿宋" w:cs="仿宋"/>
                <w:i w:val="0"/>
                <w:iCs w:val="0"/>
                <w:color w:val="000000"/>
                <w:sz w:val="24"/>
                <w:szCs w:val="24"/>
                <w:u w:val="none"/>
                <w:lang w:eastAsia="zh-CN"/>
              </w:rPr>
            </w:pPr>
            <w:r>
              <w:rPr>
                <w:rFonts w:hint="default" w:ascii="仿宋" w:hAnsi="仿宋" w:eastAsia="仿宋" w:cs="仿宋"/>
                <w:i w:val="0"/>
                <w:iCs w:val="0"/>
                <w:color w:val="000000"/>
                <w:sz w:val="24"/>
                <w:szCs w:val="24"/>
                <w:u w:val="none"/>
                <w:lang w:eastAsia="zh-CN"/>
              </w:rPr>
              <w:t>（1）</w:t>
            </w:r>
            <w:r>
              <w:rPr>
                <w:rFonts w:hint="eastAsia" w:ascii="仿宋" w:hAnsi="仿宋" w:eastAsia="仿宋" w:cs="仿宋"/>
                <w:i w:val="0"/>
                <w:iCs w:val="0"/>
                <w:color w:val="000000"/>
                <w:sz w:val="24"/>
                <w:szCs w:val="24"/>
                <w:u w:val="none"/>
                <w:lang w:val="en-US" w:eastAsia="zh-CN"/>
              </w:rPr>
              <w:t>系统内上传的</w:t>
            </w:r>
            <w:r>
              <w:rPr>
                <w:rFonts w:hint="default" w:ascii="仿宋" w:hAnsi="仿宋" w:eastAsia="仿宋" w:cs="仿宋"/>
                <w:i w:val="0"/>
                <w:iCs w:val="0"/>
                <w:color w:val="000000"/>
                <w:sz w:val="24"/>
                <w:szCs w:val="24"/>
                <w:u w:val="none"/>
                <w:lang w:eastAsia="zh-CN"/>
              </w:rPr>
              <w:t>中标通知书未电子签章</w:t>
            </w:r>
            <w:r>
              <w:rPr>
                <w:rFonts w:hint="eastAsia" w:ascii="仿宋" w:hAnsi="仿宋" w:eastAsia="仿宋" w:cs="仿宋"/>
                <w:i w:val="0"/>
                <w:iCs w:val="0"/>
                <w:color w:val="000000"/>
                <w:sz w:val="24"/>
                <w:szCs w:val="24"/>
                <w:u w:val="none"/>
                <w:lang w:eastAsia="zh-CN"/>
              </w:rPr>
              <w:t>；</w:t>
            </w:r>
          </w:p>
          <w:p w14:paraId="1505CD13">
            <w:pPr>
              <w:pStyle w:val="4"/>
              <w:rPr>
                <w:rFonts w:hint="default" w:ascii="仿宋" w:hAnsi="仿宋" w:eastAsia="仿宋" w:cs="仿宋"/>
                <w:i w:val="0"/>
                <w:iCs w:val="0"/>
                <w:color w:val="000000"/>
                <w:sz w:val="24"/>
                <w:szCs w:val="24"/>
                <w:u w:val="none"/>
                <w:lang w:eastAsia="zh-CN"/>
              </w:rPr>
            </w:pPr>
            <w:r>
              <w:rPr>
                <w:rFonts w:hint="default" w:ascii="仿宋" w:hAnsi="仿宋" w:eastAsia="仿宋" w:cs="仿宋"/>
                <w:i w:val="0"/>
                <w:iCs w:val="0"/>
                <w:color w:val="000000"/>
                <w:sz w:val="24"/>
                <w:szCs w:val="24"/>
                <w:u w:val="none"/>
                <w:lang w:eastAsia="zh-CN"/>
              </w:rPr>
              <w:t>（2）中标通知书</w:t>
            </w:r>
            <w:r>
              <w:rPr>
                <w:rFonts w:hint="eastAsia" w:ascii="仿宋" w:hAnsi="仿宋" w:eastAsia="仿宋" w:cs="仿宋"/>
                <w:i w:val="0"/>
                <w:iCs w:val="0"/>
                <w:color w:val="000000"/>
                <w:sz w:val="24"/>
                <w:szCs w:val="24"/>
                <w:u w:val="none"/>
                <w:lang w:val="en-US" w:eastAsia="zh-CN"/>
              </w:rPr>
              <w:t>上传有误</w:t>
            </w:r>
            <w:r>
              <w:rPr>
                <w:rFonts w:hint="default" w:ascii="仿宋" w:hAnsi="仿宋" w:eastAsia="仿宋" w:cs="仿宋"/>
                <w:i w:val="0"/>
                <w:iCs w:val="0"/>
                <w:color w:val="000000"/>
                <w:sz w:val="24"/>
                <w:szCs w:val="24"/>
                <w:u w:val="none"/>
                <w:lang w:eastAsia="zh-CN"/>
              </w:rPr>
              <w:t>，中标通知书中中标单位、中标金额等信息填写有误</w:t>
            </w:r>
            <w:r>
              <w:rPr>
                <w:rFonts w:hint="eastAsia" w:ascii="仿宋" w:hAnsi="仿宋" w:eastAsia="仿宋" w:cs="仿宋"/>
                <w:i w:val="0"/>
                <w:iCs w:val="0"/>
                <w:color w:val="000000"/>
                <w:sz w:val="24"/>
                <w:szCs w:val="24"/>
                <w:u w:val="none"/>
                <w:lang w:eastAsia="zh-CN"/>
              </w:rPr>
              <w:t>。</w:t>
            </w:r>
          </w:p>
          <w:p w14:paraId="2F07305C">
            <w:pPr>
              <w:pStyle w:val="4"/>
              <w:rPr>
                <w:rFonts w:hint="default" w:ascii="仿宋" w:hAnsi="仿宋" w:eastAsia="仿宋" w:cs="仿宋"/>
                <w:i w:val="0"/>
                <w:iCs w:val="0"/>
                <w:color w:val="000000"/>
                <w:sz w:val="24"/>
                <w:szCs w:val="24"/>
                <w:u w:val="none"/>
                <w:lang w:eastAsia="zh-CN"/>
              </w:rPr>
            </w:pPr>
            <w:r>
              <w:rPr>
                <w:rFonts w:hint="default" w:ascii="仿宋" w:hAnsi="仿宋" w:eastAsia="仿宋" w:cs="仿宋"/>
                <w:i w:val="0"/>
                <w:iCs w:val="0"/>
                <w:color w:val="000000"/>
                <w:sz w:val="24"/>
                <w:szCs w:val="24"/>
                <w:u w:val="none"/>
                <w:lang w:eastAsia="zh-CN"/>
              </w:rPr>
              <w:t>5.保证金退款环节</w:t>
            </w:r>
          </w:p>
          <w:p w14:paraId="43F47459">
            <w:pPr>
              <w:pStyle w:val="4"/>
              <w:rPr>
                <w:rFonts w:hint="eastAsia" w:ascii="仿宋" w:hAnsi="仿宋" w:eastAsia="仿宋" w:cs="仿宋"/>
                <w:i w:val="0"/>
                <w:iCs w:val="0"/>
                <w:color w:val="000000"/>
                <w:sz w:val="24"/>
                <w:szCs w:val="24"/>
                <w:u w:val="none"/>
                <w:lang w:val="en-US" w:eastAsia="zh-CN"/>
              </w:rPr>
            </w:pPr>
            <w:r>
              <w:rPr>
                <w:rFonts w:hint="default" w:ascii="仿宋" w:hAnsi="仿宋" w:eastAsia="仿宋" w:cs="仿宋"/>
                <w:i w:val="0"/>
                <w:iCs w:val="0"/>
                <w:color w:val="000000"/>
                <w:sz w:val="24"/>
                <w:szCs w:val="24"/>
                <w:u w:val="none"/>
                <w:lang w:eastAsia="zh-CN"/>
              </w:rPr>
              <w:t>（1）保证金退款申请发起时退款单位</w:t>
            </w:r>
            <w:r>
              <w:rPr>
                <w:rFonts w:hint="eastAsia" w:ascii="仿宋" w:hAnsi="仿宋" w:eastAsia="仿宋" w:cs="仿宋"/>
                <w:i w:val="0"/>
                <w:iCs w:val="0"/>
                <w:color w:val="000000"/>
                <w:sz w:val="24"/>
                <w:szCs w:val="24"/>
                <w:u w:val="none"/>
                <w:lang w:val="en-US" w:eastAsia="zh-CN"/>
              </w:rPr>
              <w:t>信息有误；</w:t>
            </w:r>
          </w:p>
          <w:p w14:paraId="0159B29A">
            <w:pPr>
              <w:pStyle w:val="4"/>
              <w:rPr>
                <w:rFonts w:hint="default" w:ascii="仿宋" w:hAnsi="仿宋" w:eastAsia="仿宋" w:cs="仿宋"/>
                <w:i w:val="0"/>
                <w:iCs w:val="0"/>
                <w:color w:val="000000"/>
                <w:sz w:val="24"/>
                <w:szCs w:val="24"/>
                <w:u w:val="none"/>
                <w:lang w:val="en-US" w:eastAsia="zh-CN"/>
              </w:rPr>
            </w:pPr>
            <w:r>
              <w:rPr>
                <w:rFonts w:hint="default" w:ascii="仿宋" w:hAnsi="仿宋" w:eastAsia="仿宋" w:cs="仿宋"/>
                <w:i w:val="0"/>
                <w:iCs w:val="0"/>
                <w:color w:val="000000"/>
                <w:sz w:val="24"/>
                <w:szCs w:val="24"/>
                <w:u w:val="none"/>
                <w:lang w:eastAsia="zh-CN"/>
              </w:rPr>
              <w:t>（2）</w:t>
            </w:r>
            <w:r>
              <w:rPr>
                <w:rFonts w:hint="eastAsia" w:ascii="仿宋" w:hAnsi="仿宋" w:eastAsia="仿宋" w:cs="仿宋"/>
                <w:i w:val="0"/>
                <w:iCs w:val="0"/>
                <w:color w:val="000000"/>
                <w:sz w:val="24"/>
                <w:szCs w:val="24"/>
                <w:u w:val="none"/>
                <w:lang w:val="en-US" w:eastAsia="zh-CN"/>
              </w:rPr>
              <w:t>未按规定发起保证金退还的。</w:t>
            </w:r>
          </w:p>
        </w:tc>
      </w:tr>
      <w:tr w14:paraId="4135B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5"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D6AC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87C2">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1分/项</w:t>
            </w:r>
          </w:p>
        </w:tc>
        <w:tc>
          <w:tcPr>
            <w:tcW w:w="6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C19A">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1.非对外公布环节，提交审核通过后发现有误需要平台主动退回的。</w:t>
            </w:r>
          </w:p>
          <w:p w14:paraId="076B1DD9">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2.专家抽取提交前，未及时与业主沟通确定业主专家，开标前临时更改业主专家的。</w:t>
            </w:r>
          </w:p>
          <w:p w14:paraId="1876ACF6">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3.有样品项目未提前一天与平台沟通，致使现场秩序混乱的。</w:t>
            </w:r>
          </w:p>
          <w:p w14:paraId="52AC963C">
            <w:pPr>
              <w:widowControl/>
              <w:textAlignment w:val="center"/>
              <w:rPr>
                <w:rFonts w:hint="default"/>
                <w:lang w:val="en-US" w:eastAsia="zh-CN"/>
              </w:rPr>
            </w:pPr>
            <w:r>
              <w:rPr>
                <w:rFonts w:hint="eastAsia" w:ascii="仿宋" w:hAnsi="仿宋" w:eastAsia="仿宋" w:cs="仿宋"/>
                <w:i w:val="0"/>
                <w:iCs w:val="0"/>
                <w:color w:val="000000"/>
                <w:sz w:val="24"/>
                <w:szCs w:val="24"/>
                <w:u w:val="none"/>
                <w:lang w:val="en-US" w:eastAsia="zh-CN"/>
              </w:rPr>
              <w:t>4.未对供应商依法提出的询问在3个工作日内在系统“网上提问”板块内作出答复的。</w:t>
            </w:r>
          </w:p>
          <w:p w14:paraId="13DCFAFE">
            <w:pPr>
              <w:widowControl/>
              <w:textAlignment w:val="center"/>
              <w:rPr>
                <w:rFonts w:hint="default"/>
                <w:lang w:val="en-US" w:eastAsia="zh-CN"/>
              </w:rPr>
            </w:pPr>
            <w:r>
              <w:rPr>
                <w:rFonts w:hint="eastAsia" w:ascii="仿宋" w:hAnsi="仿宋" w:eastAsia="仿宋" w:cs="仿宋"/>
                <w:i w:val="0"/>
                <w:iCs w:val="0"/>
                <w:color w:val="000000"/>
                <w:sz w:val="24"/>
                <w:szCs w:val="24"/>
                <w:u w:val="none"/>
                <w:lang w:val="en-US" w:eastAsia="zh-CN"/>
              </w:rPr>
              <w:t>5.未在收到书面质疑后7个工作日内作出书面答复并在系统“质疑回复”内进行回复的。</w:t>
            </w:r>
          </w:p>
        </w:tc>
      </w:tr>
      <w:tr w14:paraId="7C135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5"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F7A3">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866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2分/项</w:t>
            </w:r>
          </w:p>
        </w:tc>
        <w:tc>
          <w:tcPr>
            <w:tcW w:w="6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9F39">
            <w:pPr>
              <w:pStyle w:val="4"/>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1.已发布的内容发现有误，需要退回修改的。</w:t>
            </w:r>
          </w:p>
          <w:p w14:paraId="72B4C7F9">
            <w:pPr>
              <w:pStyle w:val="4"/>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2.开评标期间存在多次流窜现象，经提醒警告后不改正的。</w:t>
            </w:r>
          </w:p>
          <w:p w14:paraId="17D552AD">
            <w:pPr>
              <w:pStyle w:val="4"/>
              <w:rPr>
                <w:rFonts w:hint="eastAsia" w:ascii="仿宋" w:hAnsi="仿宋" w:eastAsia="仿宋" w:cs="仿宋"/>
                <w:i w:val="0"/>
                <w:iCs w:val="0"/>
                <w:color w:val="000000"/>
                <w:sz w:val="24"/>
                <w:szCs w:val="24"/>
                <w:u w:val="none"/>
              </w:rPr>
            </w:pPr>
            <w:r>
              <w:rPr>
                <w:rFonts w:hint="default" w:ascii="仿宋" w:hAnsi="仿宋" w:eastAsia="仿宋" w:cs="仿宋"/>
                <w:i w:val="0"/>
                <w:iCs w:val="0"/>
                <w:color w:val="000000"/>
                <w:sz w:val="24"/>
                <w:szCs w:val="24"/>
                <w:u w:val="none"/>
                <w:lang w:eastAsia="zh-CN"/>
              </w:rPr>
              <w:t>3.非本代理机构人员进入现场开评标的。</w:t>
            </w:r>
          </w:p>
        </w:tc>
      </w:tr>
      <w:tr w14:paraId="24E78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9"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58C0">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7030">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3分/项</w:t>
            </w:r>
          </w:p>
        </w:tc>
        <w:tc>
          <w:tcPr>
            <w:tcW w:w="6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64A4">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1.无正当理由拒绝履行合同和有关承诺，或擅自变更中止 （终止）合同的；将委托项目转包或擅自分包给其他机构的。</w:t>
            </w:r>
          </w:p>
          <w:p w14:paraId="59DF025A">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在采购文件中评分标准设置未按照相关法律法规执行，且被提出质疑并成立的。未在规定时间内对供应商的质疑作出答复，或者未针对质疑内容答复的；未按照法律法规及平台操作规则处理质疑的；不积极配合投诉调查的。</w:t>
            </w:r>
          </w:p>
          <w:p w14:paraId="67F3C643">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3.代理的采购项目发生举报、信访事件，内容属实，但未构成违法行为的。</w:t>
            </w:r>
          </w:p>
          <w:p w14:paraId="174FAEF2">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4.因自身原因造成评审数据错误，影响评标结果的。</w:t>
            </w:r>
          </w:p>
          <w:p w14:paraId="6C876504">
            <w:pPr>
              <w:pStyle w:val="4"/>
              <w:rPr>
                <w:rFonts w:hint="default"/>
                <w:lang w:val="en-US"/>
              </w:rPr>
            </w:pPr>
            <w:r>
              <w:rPr>
                <w:rFonts w:hint="eastAsia" w:ascii="仿宋" w:hAnsi="仿宋" w:eastAsia="仿宋" w:cs="仿宋"/>
                <w:i w:val="0"/>
                <w:iCs w:val="0"/>
                <w:color w:val="000000"/>
                <w:sz w:val="24"/>
                <w:szCs w:val="24"/>
                <w:u w:val="none"/>
                <w:lang w:val="en-US" w:eastAsia="zh-CN"/>
              </w:rPr>
              <w:t>5.未按通知要求参加平台组织的各种会议、培训及其他活动，未按要求及时报送相关资料的。</w:t>
            </w:r>
          </w:p>
        </w:tc>
      </w:tr>
      <w:tr w14:paraId="3950C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2D0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962F">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5分/项</w:t>
            </w:r>
          </w:p>
        </w:tc>
        <w:tc>
          <w:tcPr>
            <w:tcW w:w="65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DE4A">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1.在组织开、评标过程中，随意发表诱导性意见，存在带有歧视性、倾向性解释或者说明的。</w:t>
            </w:r>
          </w:p>
          <w:p w14:paraId="4B9609EA">
            <w:pPr>
              <w:keepNext w:val="0"/>
              <w:keepLines w:val="0"/>
              <w:widowControl/>
              <w:suppressLineNumbers w:val="0"/>
              <w:jc w:val="left"/>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2.违反规定，擅自泄露在代理业务中不能公开的资料、信息和商业秘密的。</w:t>
            </w:r>
          </w:p>
          <w:p w14:paraId="6ADA1D7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3.被有关采购行政主管部门作出警告、通报批评、罚款没收违法所得、没收非法财物等行政处罚的。</w:t>
            </w:r>
          </w:p>
        </w:tc>
      </w:tr>
    </w:tbl>
    <w:p w14:paraId="7F492F6F">
      <w:pPr>
        <w:pStyle w:val="4"/>
        <w:rPr>
          <w:rFonts w:hint="eastAsia" w:ascii="Times New Roman" w:hAnsi="Times New Roman" w:eastAsia="仿宋_GB2312" w:cs="Times New Roman"/>
          <w:sz w:val="32"/>
          <w:szCs w:val="32"/>
          <w:lang w:val="en-US" w:eastAsia="zh-CN"/>
        </w:rPr>
      </w:pPr>
    </w:p>
    <w:p w14:paraId="29591DC7">
      <w:pPr>
        <w:pStyle w:val="4"/>
        <w:rPr>
          <w:rFonts w:hint="eastAsia" w:ascii="Times New Roman" w:hAnsi="Times New Roman" w:eastAsia="仿宋_GB2312" w:cs="Times New Roman"/>
          <w:sz w:val="32"/>
          <w:szCs w:val="32"/>
          <w:lang w:val="en-US" w:eastAsia="zh-CN"/>
        </w:rPr>
      </w:pPr>
    </w:p>
    <w:p w14:paraId="2FBFF0E5">
      <w:pPr>
        <w:pStyle w:val="4"/>
        <w:rPr>
          <w:rFonts w:hint="eastAsia" w:ascii="Times New Roman" w:hAnsi="Times New Roman" w:eastAsia="仿宋_GB2312" w:cs="Times New Roman"/>
          <w:sz w:val="32"/>
          <w:szCs w:val="32"/>
          <w:lang w:val="en-US" w:eastAsia="zh-CN"/>
        </w:rPr>
      </w:pPr>
    </w:p>
    <w:p w14:paraId="1720DB55">
      <w:pPr>
        <w:spacing w:line="600" w:lineRule="exact"/>
        <w:jc w:val="left"/>
        <w:rPr>
          <w:rFonts w:hint="eastAsia" w:ascii="黑体" w:hAnsi="黑体" w:eastAsia="黑体" w:cs="黑体"/>
          <w:sz w:val="32"/>
          <w:szCs w:val="32"/>
          <w:lang w:val="en-US" w:eastAsia="zh-CN"/>
        </w:rPr>
      </w:pPr>
    </w:p>
    <w:p w14:paraId="662EC80C">
      <w:pPr>
        <w:spacing w:line="600" w:lineRule="exact"/>
        <w:jc w:val="left"/>
        <w:rPr>
          <w:rFonts w:hint="eastAsia" w:ascii="黑体" w:hAnsi="黑体" w:eastAsia="黑体" w:cs="黑体"/>
          <w:sz w:val="32"/>
          <w:szCs w:val="32"/>
          <w:lang w:val="en-US" w:eastAsia="zh-CN"/>
        </w:rPr>
      </w:pPr>
    </w:p>
    <w:p w14:paraId="3EEEFA9B">
      <w:pPr>
        <w:pStyle w:val="4"/>
        <w:rPr>
          <w:rFonts w:hint="eastAsia" w:ascii="黑体" w:hAnsi="黑体" w:eastAsia="黑体" w:cs="黑体"/>
          <w:sz w:val="32"/>
          <w:szCs w:val="32"/>
          <w:lang w:val="en-US" w:eastAsia="zh-CN"/>
        </w:rPr>
      </w:pPr>
    </w:p>
    <w:p w14:paraId="14608A97">
      <w:pPr>
        <w:pStyle w:val="4"/>
        <w:rPr>
          <w:rFonts w:hint="eastAsia" w:ascii="黑体" w:hAnsi="黑体" w:eastAsia="黑体" w:cs="黑体"/>
          <w:sz w:val="32"/>
          <w:szCs w:val="32"/>
          <w:lang w:val="en-US" w:eastAsia="zh-CN"/>
        </w:rPr>
      </w:pPr>
    </w:p>
    <w:p w14:paraId="62089346">
      <w:pPr>
        <w:pStyle w:val="4"/>
        <w:rPr>
          <w:rFonts w:hint="eastAsia" w:ascii="黑体" w:hAnsi="黑体" w:eastAsia="黑体" w:cs="黑体"/>
          <w:sz w:val="32"/>
          <w:szCs w:val="32"/>
          <w:lang w:val="en-US" w:eastAsia="zh-CN"/>
        </w:rPr>
      </w:pPr>
      <w:bookmarkStart w:id="0" w:name="_GoBack"/>
      <w:bookmarkEnd w:id="0"/>
    </w:p>
    <w:p w14:paraId="34A47CD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附件3：</w:t>
      </w:r>
    </w:p>
    <w:p w14:paraId="03A956CF">
      <w:pPr>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0"/>
        <w:rPr>
          <w:rFonts w:hint="eastAsia" w:ascii="Times New Roman" w:hAnsi="Times New Roman" w:eastAsia="方正小标宋简体" w:cs="Times New Roman"/>
          <w:sz w:val="44"/>
          <w:szCs w:val="44"/>
          <w:lang w:val="en-US" w:eastAsia="zh-CN"/>
        </w:rPr>
      </w:pPr>
    </w:p>
    <w:p w14:paraId="5BBF927C">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采购代理机构动态评价标准</w:t>
      </w:r>
    </w:p>
    <w:p w14:paraId="213E16EB">
      <w:pPr>
        <w:pStyle w:val="7"/>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lang w:val="en-US" w:eastAsia="zh-CN"/>
        </w:rPr>
      </w:pPr>
    </w:p>
    <w:tbl>
      <w:tblPr>
        <w:tblStyle w:val="8"/>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1"/>
        <w:gridCol w:w="1200"/>
        <w:gridCol w:w="854"/>
        <w:gridCol w:w="5614"/>
      </w:tblGrid>
      <w:tr w14:paraId="0A38C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384C7">
            <w:pPr>
              <w:keepNext w:val="0"/>
              <w:keepLines w:val="0"/>
              <w:widowControl/>
              <w:suppressLineNumbers w:val="0"/>
              <w:spacing w:line="600" w:lineRule="exact"/>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414B">
            <w:pPr>
              <w:keepNext w:val="0"/>
              <w:keepLines w:val="0"/>
              <w:widowControl/>
              <w:suppressLineNumbers w:val="0"/>
              <w:spacing w:line="6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评价项目</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1B0B">
            <w:pPr>
              <w:keepNext w:val="0"/>
              <w:keepLines w:val="0"/>
              <w:widowControl/>
              <w:suppressLineNumbers w:val="0"/>
              <w:spacing w:line="6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c>
          <w:tcPr>
            <w:tcW w:w="5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4B82">
            <w:pPr>
              <w:keepNext w:val="0"/>
              <w:keepLines w:val="0"/>
              <w:widowControl/>
              <w:suppressLineNumbers w:val="0"/>
              <w:spacing w:line="60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评价标准</w:t>
            </w:r>
          </w:p>
        </w:tc>
      </w:tr>
      <w:tr w14:paraId="245E3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5" w:hRule="atLeast"/>
          <w:jc w:val="center"/>
        </w:trPr>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D4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C69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加分项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FA27">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15分</w:t>
            </w:r>
          </w:p>
        </w:tc>
        <w:tc>
          <w:tcPr>
            <w:tcW w:w="5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0C2F">
            <w:pPr>
              <w:pStyle w:val="4"/>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根据代理项目成交数量（按年度）每完成采购项目1个的（发生扣分的项目除外）加0.1分，计分周期内最高不超过15分。</w:t>
            </w:r>
          </w:p>
        </w:tc>
      </w:tr>
      <w:tr w14:paraId="6AA50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jc w:val="center"/>
        </w:trPr>
        <w:tc>
          <w:tcPr>
            <w:tcW w:w="851" w:type="dxa"/>
            <w:vMerge w:val="restart"/>
            <w:tcBorders>
              <w:top w:val="single" w:color="000000" w:sz="4" w:space="0"/>
              <w:left w:val="single" w:color="000000" w:sz="4" w:space="0"/>
              <w:right w:val="single" w:color="000000" w:sz="4" w:space="0"/>
            </w:tcBorders>
            <w:shd w:val="clear" w:color="auto" w:fill="auto"/>
            <w:vAlign w:val="center"/>
          </w:tcPr>
          <w:p w14:paraId="107DD8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200" w:type="dxa"/>
            <w:vMerge w:val="restart"/>
            <w:tcBorders>
              <w:top w:val="single" w:color="000000" w:sz="4" w:space="0"/>
              <w:left w:val="single" w:color="000000" w:sz="4" w:space="0"/>
              <w:right w:val="single" w:color="000000" w:sz="4" w:space="0"/>
            </w:tcBorders>
            <w:shd w:val="clear" w:color="auto" w:fill="auto"/>
            <w:vAlign w:val="center"/>
          </w:tcPr>
          <w:p w14:paraId="7C6BB1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扣分项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129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20分</w:t>
            </w:r>
          </w:p>
        </w:tc>
        <w:tc>
          <w:tcPr>
            <w:tcW w:w="5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8AF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因自身原因造成代理的采购项目发生举报、信访，内容属实且构成违法行为，但未被有关采购行政主管部门作出禁止在一定期限内参与公共资源交易或国企采购活动、限制从业、暂扣或者吊销执照等行政处罚的。</w:t>
            </w:r>
          </w:p>
        </w:tc>
      </w:tr>
      <w:tr w14:paraId="083C3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jc w:val="center"/>
        </w:trPr>
        <w:tc>
          <w:tcPr>
            <w:tcW w:w="851" w:type="dxa"/>
            <w:vMerge w:val="continue"/>
            <w:tcBorders>
              <w:left w:val="single" w:color="000000" w:sz="4" w:space="0"/>
              <w:bottom w:val="single" w:color="000000" w:sz="4" w:space="0"/>
              <w:right w:val="single" w:color="000000" w:sz="4" w:space="0"/>
            </w:tcBorders>
            <w:shd w:val="clear" w:color="auto" w:fill="auto"/>
            <w:vAlign w:val="center"/>
          </w:tcPr>
          <w:p w14:paraId="1A7FB9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200" w:type="dxa"/>
            <w:vMerge w:val="continue"/>
            <w:tcBorders>
              <w:left w:val="single" w:color="000000" w:sz="4" w:space="0"/>
              <w:bottom w:val="single" w:color="000000" w:sz="4" w:space="0"/>
              <w:right w:val="single" w:color="000000" w:sz="4" w:space="0"/>
            </w:tcBorders>
            <w:shd w:val="clear" w:color="auto" w:fill="auto"/>
            <w:vAlign w:val="center"/>
          </w:tcPr>
          <w:p w14:paraId="4E64956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AA1E">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40分</w:t>
            </w:r>
          </w:p>
        </w:tc>
        <w:tc>
          <w:tcPr>
            <w:tcW w:w="5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D56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在代理项目的采购活动中被司法机关认定犯单位行贿罪，或所属工作人员被司法机关认定有犯罪行为，但未被有关采购行政主管部门作出禁止在一定期限内参与公共资源交易或国企采购活动、限制从业、暂扣或者吊销执照等行政处罚的。</w:t>
            </w:r>
          </w:p>
        </w:tc>
      </w:tr>
    </w:tbl>
    <w:p w14:paraId="0D6161A3">
      <w:pPr>
        <w:pStyle w:val="4"/>
        <w:rPr>
          <w:rFonts w:hint="eastAsia" w:ascii="Times New Roman" w:hAnsi="Times New Roman" w:eastAsia="仿宋_GB2312" w:cs="Times New Roman"/>
          <w:sz w:val="32"/>
          <w:szCs w:val="32"/>
          <w:lang w:val="en-US" w:eastAsia="zh-CN"/>
        </w:rPr>
      </w:pPr>
    </w:p>
    <w:p w14:paraId="27067269">
      <w:pPr>
        <w:pStyle w:val="7"/>
        <w:ind w:left="0" w:leftChars="0" w:firstLine="0" w:firstLineChars="0"/>
        <w:jc w:val="left"/>
        <w:rPr>
          <w:rFonts w:hint="default" w:ascii="仿宋_GB2312" w:hAnsi="仿宋_GB2312" w:eastAsia="仿宋_GB2312" w:cs="仿宋_GB2312"/>
          <w:sz w:val="21"/>
          <w:szCs w:val="24"/>
          <w:u w:val="none"/>
          <w:lang w:val="en-US"/>
        </w:rPr>
      </w:pPr>
    </w:p>
    <w:sectPr>
      <w:footerReference r:id="rId3" w:type="default"/>
      <w:pgSz w:w="11906" w:h="16838"/>
      <w:pgMar w:top="1701" w:right="1644" w:bottom="1701" w:left="1644"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DABA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85EAD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85EAD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hNzMxMTdlYjU4NDc1M2NhNzBkOWYwNjU0ODIzYTEifQ=="/>
  </w:docVars>
  <w:rsids>
    <w:rsidRoot w:val="00000000"/>
    <w:rsid w:val="03CA1FAF"/>
    <w:rsid w:val="03F569C0"/>
    <w:rsid w:val="0687062B"/>
    <w:rsid w:val="08A31260"/>
    <w:rsid w:val="0B8A39E0"/>
    <w:rsid w:val="0F76123D"/>
    <w:rsid w:val="123F000C"/>
    <w:rsid w:val="13D46D18"/>
    <w:rsid w:val="1408152E"/>
    <w:rsid w:val="147541B9"/>
    <w:rsid w:val="16BB46B5"/>
    <w:rsid w:val="18600169"/>
    <w:rsid w:val="19940C3D"/>
    <w:rsid w:val="1B2A0990"/>
    <w:rsid w:val="1B563D61"/>
    <w:rsid w:val="1C855B3E"/>
    <w:rsid w:val="1DCF07F1"/>
    <w:rsid w:val="20286277"/>
    <w:rsid w:val="20947775"/>
    <w:rsid w:val="21431E90"/>
    <w:rsid w:val="218040E3"/>
    <w:rsid w:val="229B128E"/>
    <w:rsid w:val="23452FA8"/>
    <w:rsid w:val="238C6E29"/>
    <w:rsid w:val="23A3664D"/>
    <w:rsid w:val="24A939E8"/>
    <w:rsid w:val="26B91CE3"/>
    <w:rsid w:val="2769137B"/>
    <w:rsid w:val="282F761A"/>
    <w:rsid w:val="286839C1"/>
    <w:rsid w:val="287E1436"/>
    <w:rsid w:val="29D37560"/>
    <w:rsid w:val="2F6B3D97"/>
    <w:rsid w:val="34926C2F"/>
    <w:rsid w:val="34C226AB"/>
    <w:rsid w:val="358856A2"/>
    <w:rsid w:val="3A0F6392"/>
    <w:rsid w:val="3C7F0E81"/>
    <w:rsid w:val="4164638D"/>
    <w:rsid w:val="428B4190"/>
    <w:rsid w:val="43211D6D"/>
    <w:rsid w:val="44EE4238"/>
    <w:rsid w:val="457A48DC"/>
    <w:rsid w:val="460E6FC4"/>
    <w:rsid w:val="464C11D3"/>
    <w:rsid w:val="4A8F2684"/>
    <w:rsid w:val="4C2C4D57"/>
    <w:rsid w:val="521506B9"/>
    <w:rsid w:val="53107AD3"/>
    <w:rsid w:val="54A0435F"/>
    <w:rsid w:val="5591087D"/>
    <w:rsid w:val="562B5EAA"/>
    <w:rsid w:val="56CA5E06"/>
    <w:rsid w:val="5B0E247C"/>
    <w:rsid w:val="5B2D3C42"/>
    <w:rsid w:val="624A76B8"/>
    <w:rsid w:val="634B474C"/>
    <w:rsid w:val="63AB5F1A"/>
    <w:rsid w:val="64CA66A6"/>
    <w:rsid w:val="6D001F34"/>
    <w:rsid w:val="6D7759D8"/>
    <w:rsid w:val="755C75DB"/>
    <w:rsid w:val="76FA3271"/>
    <w:rsid w:val="77F934CC"/>
    <w:rsid w:val="795C61F7"/>
    <w:rsid w:val="7CF44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283"/>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3"/>
    <w:qFormat/>
    <w:uiPriority w:val="0"/>
    <w:pPr>
      <w:spacing w:line="500" w:lineRule="exact"/>
      <w:ind w:firstLine="420"/>
    </w:pPr>
    <w:rPr>
      <w:rFonts w:ascii="Times New Roman" w:hAnsi="Times New Roman" w:eastAsia="宋体"/>
      <w:sz w:val="2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Heading3"/>
    <w:basedOn w:val="1"/>
    <w:next w:val="1"/>
    <w:qFormat/>
    <w:uiPriority w:val="0"/>
    <w:pPr>
      <w:keepNext/>
      <w:keepLines/>
      <w:spacing w:before="260" w:after="260" w:line="416" w:lineRule="auto"/>
    </w:pPr>
  </w:style>
  <w:style w:type="paragraph" w:customStyle="1" w:styleId="12">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3314</Words>
  <Characters>3443</Characters>
  <Lines>0</Lines>
  <Paragraphs>0</Paragraphs>
  <TotalTime>4</TotalTime>
  <ScaleCrop>false</ScaleCrop>
  <LinksUpToDate>false</LinksUpToDate>
  <CharactersWithSpaces>3533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2023-07-03T05:32:00Z</dcterms:created>
  <dc:creator>Administrator</dc:creator>
  <cp:lastModifiedBy>stronglyYao</cp:lastModifiedBy>
  <cp:lastPrinted>2024-07-15T08:16:00Z</cp:lastPrinted>
  <dcterms:modified xsi:type="dcterms:W3CDTF">2024-07-15T10:05:46Z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3719D52BF6354943B569B12E1DDF53BA</vt:lpwstr>
  </property>
</Properties>
</file>